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60" w:rsidRDefault="005E1C60" w:rsidP="005E1C60">
      <w:pPr>
        <w:pStyle w:val="Title"/>
      </w:pPr>
      <w:bookmarkStart w:id="0" w:name="_GoBack"/>
      <w:bookmarkEnd w:id="0"/>
      <w:r>
        <w:t>Nitrogen supply and greenhouse gas emissions from</w:t>
      </w:r>
      <w:r w:rsidR="00760174">
        <w:t xml:space="preserve"> a Black Vertosol amended with urea and ENTEC® urea</w:t>
      </w:r>
    </w:p>
    <w:p w:rsidR="00BB7D7B" w:rsidRDefault="00BB7D7B"/>
    <w:p w:rsidR="000A43C1" w:rsidRPr="005E1C60" w:rsidRDefault="005E1C60" w:rsidP="000A43C1">
      <w:pPr>
        <w:pStyle w:val="author"/>
      </w:pPr>
      <w:r w:rsidRPr="004A4C18">
        <w:t>Constance M.Coverdale</w:t>
      </w:r>
      <w:r w:rsidR="000A43C1" w:rsidRPr="004A4C18">
        <w:rPr>
          <w:vertAlign w:val="superscript"/>
        </w:rPr>
        <w:t>1</w:t>
      </w:r>
      <w:r w:rsidR="002104F1">
        <w:t xml:space="preserve">, </w:t>
      </w:r>
      <w:r w:rsidRPr="004A4C18">
        <w:rPr>
          <w:b/>
        </w:rPr>
        <w:t>Alice R. Melland</w:t>
      </w:r>
      <w:r>
        <w:rPr>
          <w:vertAlign w:val="superscript"/>
        </w:rPr>
        <w:t>2</w:t>
      </w:r>
      <w:r>
        <w:t>, Diogenes L.Antille</w:t>
      </w:r>
      <w:r>
        <w:rPr>
          <w:vertAlign w:val="superscript"/>
        </w:rPr>
        <w:t>2</w:t>
      </w:r>
    </w:p>
    <w:p w:rsidR="000A43C1" w:rsidRDefault="000A43C1" w:rsidP="000A43C1"/>
    <w:p w:rsidR="00C1292F" w:rsidRDefault="000A43C1" w:rsidP="000A43C1">
      <w:pPr>
        <w:pStyle w:val="address"/>
      </w:pPr>
      <w:r>
        <w:rPr>
          <w:vertAlign w:val="superscript"/>
        </w:rPr>
        <w:t xml:space="preserve">1 </w:t>
      </w:r>
      <w:r w:rsidR="005E1C60">
        <w:t>University of Southern Queensland</w:t>
      </w:r>
      <w:r w:rsidR="00C1292F">
        <w:t>, Toowoomba, QLD, 4350, Australia</w:t>
      </w:r>
      <w:r>
        <w:t xml:space="preserve">, </w:t>
      </w:r>
      <w:r w:rsidR="00C1292F">
        <w:t>c.coverdale12@gmail.com</w:t>
      </w:r>
    </w:p>
    <w:p w:rsidR="000A43C1" w:rsidRDefault="000A43C1" w:rsidP="000A43C1">
      <w:pPr>
        <w:pStyle w:val="address"/>
      </w:pPr>
      <w:r>
        <w:rPr>
          <w:vertAlign w:val="superscript"/>
        </w:rPr>
        <w:t>2</w:t>
      </w:r>
      <w:r>
        <w:t xml:space="preserve"> </w:t>
      </w:r>
      <w:r w:rsidR="005E1C60">
        <w:t xml:space="preserve">University of Southern Queensland, National Centre for </w:t>
      </w:r>
      <w:r w:rsidR="00C1292F">
        <w:t>Engineering in Agriculture,</w:t>
      </w:r>
      <w:r w:rsidR="005E1C60">
        <w:t xml:space="preserve"> Toowoomba, QLD, </w:t>
      </w:r>
      <w:r w:rsidR="00C1292F">
        <w:t xml:space="preserve">4350, </w:t>
      </w:r>
      <w:r w:rsidR="005E1C60">
        <w:t>Australia</w:t>
      </w:r>
    </w:p>
    <w:p w:rsidR="00BB7D7B" w:rsidRDefault="00BB7D7B"/>
    <w:p w:rsidR="00BB7D7B" w:rsidRDefault="00BB7D7B">
      <w:pPr>
        <w:pStyle w:val="abstracthead"/>
      </w:pPr>
      <w:r>
        <w:t>Abstract</w:t>
      </w:r>
    </w:p>
    <w:p w:rsidR="00C1292F" w:rsidRPr="00C1292F" w:rsidRDefault="00C1292F" w:rsidP="00C1292F">
      <w:pPr>
        <w:pStyle w:val="abstract"/>
      </w:pPr>
      <w:r w:rsidRPr="00C1292F">
        <w:t xml:space="preserve">The Australian cotton industry </w:t>
      </w:r>
      <w:r w:rsidR="00937203">
        <w:t xml:space="preserve">seeks </w:t>
      </w:r>
      <w:r w:rsidR="00E36596">
        <w:t xml:space="preserve">ways </w:t>
      </w:r>
      <w:r w:rsidRPr="00C1292F">
        <w:t xml:space="preserve">to improve </w:t>
      </w:r>
      <w:r w:rsidR="00EC7E86">
        <w:t xml:space="preserve">its </w:t>
      </w:r>
      <w:r w:rsidR="00EC7E86" w:rsidRPr="00C1292F">
        <w:t>nitrogen (N) use efficiency</w:t>
      </w:r>
      <w:r w:rsidR="00EC7E86">
        <w:t xml:space="preserve"> through strategies such as i</w:t>
      </w:r>
      <w:r w:rsidR="00B84C3E">
        <w:t xml:space="preserve">mproving the timing </w:t>
      </w:r>
      <w:r w:rsidR="003C1BB8">
        <w:t xml:space="preserve">and rate </w:t>
      </w:r>
      <w:r w:rsidR="00B84C3E">
        <w:t>of s</w:t>
      </w:r>
      <w:r w:rsidRPr="00C1292F">
        <w:t xml:space="preserve">oil and fertiliser N supply. This research compared the soil and fertiliser mineral N </w:t>
      </w:r>
      <w:r w:rsidR="00B84C3E">
        <w:t xml:space="preserve">supply after application of </w:t>
      </w:r>
      <w:r w:rsidR="00760174">
        <w:t>urea</w:t>
      </w:r>
      <w:r w:rsidRPr="00C1292F">
        <w:t xml:space="preserve"> and ENTEC® </w:t>
      </w:r>
      <w:r w:rsidR="00760174">
        <w:t>urea</w:t>
      </w:r>
      <w:r w:rsidRPr="00C1292F">
        <w:t xml:space="preserve"> (</w:t>
      </w:r>
      <w:r w:rsidR="00265AD2">
        <w:t>which contains a nitrification inhibitor</w:t>
      </w:r>
      <w:r w:rsidRPr="00C1292F">
        <w:t xml:space="preserve">). Greenhouse gas emissions of nitrous oxide, methane and carbon dioxide were also compared. Data </w:t>
      </w:r>
      <w:r w:rsidR="0039320C">
        <w:t>were</w:t>
      </w:r>
      <w:r w:rsidRPr="00C1292F">
        <w:t xml:space="preserve"> collected by conducting a 60 day aerobic incubation </w:t>
      </w:r>
      <w:r w:rsidR="0069492C">
        <w:t xml:space="preserve">of </w:t>
      </w:r>
      <w:r w:rsidRPr="00C1292F">
        <w:t>pot</w:t>
      </w:r>
      <w:r w:rsidR="0069492C">
        <w:t xml:space="preserve">s of </w:t>
      </w:r>
      <w:r w:rsidRPr="00C1292F">
        <w:t>a Black Vertosol s</w:t>
      </w:r>
      <w:r w:rsidR="00A30319">
        <w:t xml:space="preserve">oil under a constant </w:t>
      </w:r>
      <w:r w:rsidRPr="00C1292F">
        <w:t>air temperature (25</w:t>
      </w:r>
      <w:r w:rsidRPr="00C1292F">
        <w:rPr>
          <w:vertAlign w:val="superscript"/>
        </w:rPr>
        <w:t>o</w:t>
      </w:r>
      <w:r w:rsidRPr="00C1292F">
        <w:t xml:space="preserve">C) and soil moisture range (&gt;75% field capacity). The two N fertilisers were applied at 600 kg/ha N and were compared with an unfertilised control. Soil nitrate and ammonium concentrations and greenhouse gas fluxes were measured on up to nine occasions throughout the incubation. Mineral N supply from ENTEC® </w:t>
      </w:r>
      <w:r w:rsidR="00760174">
        <w:t>urea</w:t>
      </w:r>
      <w:r w:rsidRPr="00C1292F">
        <w:t xml:space="preserve"> continuously increased over 60 days whereas the mineral N supply from </w:t>
      </w:r>
      <w:r w:rsidR="00760174">
        <w:t>urea</w:t>
      </w:r>
      <w:r w:rsidRPr="00C1292F">
        <w:t xml:space="preserve"> peaked by day 14. The ENTEC® </w:t>
      </w:r>
      <w:r w:rsidR="00760174">
        <w:t>urea</w:t>
      </w:r>
      <w:r w:rsidRPr="00C1292F">
        <w:t xml:space="preserve"> treatment also yielded 73% lower nitrous oxide emissions than the </w:t>
      </w:r>
      <w:r w:rsidR="00760174">
        <w:t>urea</w:t>
      </w:r>
      <w:r w:rsidRPr="00C1292F">
        <w:t xml:space="preserve"> treatment. I</w:t>
      </w:r>
      <w:r w:rsidR="00B84C3E">
        <w:t xml:space="preserve">n the field, if N fertiliser was applied </w:t>
      </w:r>
      <w:r w:rsidRPr="00C1292F">
        <w:t>at cotton plan</w:t>
      </w:r>
      <w:r w:rsidR="00B84C3E">
        <w:t xml:space="preserve">ting, the N supply from ENTEC® </w:t>
      </w:r>
      <w:r w:rsidR="00760174">
        <w:t>urea</w:t>
      </w:r>
      <w:r w:rsidR="00B84C3E">
        <w:t xml:space="preserve"> </w:t>
      </w:r>
      <w:r w:rsidR="00BB43C3">
        <w:t>may</w:t>
      </w:r>
      <w:r w:rsidRPr="00C1292F">
        <w:t xml:space="preserve"> </w:t>
      </w:r>
      <w:r w:rsidR="00B84C3E">
        <w:t xml:space="preserve">better </w:t>
      </w:r>
      <w:r w:rsidRPr="00C1292F">
        <w:t xml:space="preserve">coincide with </w:t>
      </w:r>
      <w:r w:rsidR="00760174">
        <w:t xml:space="preserve">peak </w:t>
      </w:r>
      <w:r w:rsidRPr="00C1292F">
        <w:t xml:space="preserve">plant demands </w:t>
      </w:r>
      <w:r w:rsidR="00B84C3E">
        <w:t xml:space="preserve">than </w:t>
      </w:r>
      <w:r w:rsidR="00760174">
        <w:t>urea.</w:t>
      </w:r>
    </w:p>
    <w:p w:rsidR="00BB7D7B" w:rsidRDefault="00BB7D7B">
      <w:pPr>
        <w:pStyle w:val="abstract"/>
      </w:pPr>
    </w:p>
    <w:p w:rsidR="00BB7D7B" w:rsidRDefault="00BB7D7B">
      <w:pPr>
        <w:pStyle w:val="keywordshead"/>
      </w:pPr>
      <w:r>
        <w:t>Key Words</w:t>
      </w:r>
    </w:p>
    <w:p w:rsidR="00C1292F" w:rsidRPr="00C1292F" w:rsidRDefault="00C1292F" w:rsidP="00C1292F">
      <w:r w:rsidRPr="00C1292F">
        <w:t>Cotton, Enhanced efficiency fertiliser, Soil mineral N, Nitrous oxide, Nitrogen</w:t>
      </w:r>
      <w:r w:rsidR="00BE3E62">
        <w:t>-use efficiency.</w:t>
      </w:r>
    </w:p>
    <w:p w:rsidR="00BB7D7B" w:rsidRDefault="00BB7D7B"/>
    <w:p w:rsidR="00BB7D7B" w:rsidRDefault="00BB7D7B">
      <w:pPr>
        <w:pStyle w:val="Heading1"/>
      </w:pPr>
      <w:r>
        <w:t>Introduction</w:t>
      </w:r>
    </w:p>
    <w:p w:rsidR="00C1292F" w:rsidRPr="00C1292F" w:rsidRDefault="00C1292F" w:rsidP="00C1292F">
      <w:r w:rsidRPr="00C1292F">
        <w:t xml:space="preserve">The cotton industry within Australia continuously strives for economic viability, long term productivity, sustainability and efficient farming practices to </w:t>
      </w:r>
      <w:r w:rsidR="00AC1941">
        <w:t>maintain</w:t>
      </w:r>
      <w:r w:rsidRPr="00C1292F">
        <w:t xml:space="preserve"> international competitiveness</w:t>
      </w:r>
      <w:r w:rsidR="00AC1941">
        <w:t xml:space="preserve">. </w:t>
      </w:r>
      <w:r w:rsidR="00265AD2">
        <w:t>Further r</w:t>
      </w:r>
      <w:r w:rsidRPr="00C1292F">
        <w:t>esearch into N use and application is important</w:t>
      </w:r>
      <w:r w:rsidR="00AC1941">
        <w:t xml:space="preserve"> to meet these goals (Roth 2014</w:t>
      </w:r>
      <w:r w:rsidRPr="00C1292F">
        <w:t>). Nitrogen fertiliser inefficiency has been identified as having the pote</w:t>
      </w:r>
      <w:r w:rsidR="00A00972">
        <w:t xml:space="preserve">ntial to cost </w:t>
      </w:r>
      <w:r w:rsidR="003C1BB8">
        <w:t xml:space="preserve">cotton </w:t>
      </w:r>
      <w:r w:rsidR="00A00972">
        <w:t xml:space="preserve">growers up to $60 </w:t>
      </w:r>
      <w:r w:rsidRPr="00C1292F">
        <w:t>ha</w:t>
      </w:r>
      <w:r w:rsidR="00A00972" w:rsidRPr="00A00972">
        <w:rPr>
          <w:vertAlign w:val="superscript"/>
        </w:rPr>
        <w:t>-1</w:t>
      </w:r>
      <w:r w:rsidRPr="00A00972">
        <w:rPr>
          <w:vertAlign w:val="superscript"/>
        </w:rPr>
        <w:t xml:space="preserve"> </w:t>
      </w:r>
      <w:r w:rsidRPr="00C1292F">
        <w:t xml:space="preserve">with </w:t>
      </w:r>
      <w:r w:rsidR="0015697A" w:rsidRPr="00C1292F">
        <w:t>denitrification</w:t>
      </w:r>
      <w:r w:rsidR="0015697A">
        <w:t xml:space="preserve"> </w:t>
      </w:r>
      <w:r w:rsidRPr="00C1292F">
        <w:t xml:space="preserve">identified as </w:t>
      </w:r>
      <w:r w:rsidR="0015697A">
        <w:t>a</w:t>
      </w:r>
      <w:r w:rsidRPr="00C1292F">
        <w:t xml:space="preserve"> </w:t>
      </w:r>
      <w:r w:rsidR="0015697A">
        <w:t xml:space="preserve">key </w:t>
      </w:r>
      <w:r w:rsidRPr="00C1292F">
        <w:t xml:space="preserve">process causing N loss (Chen </w:t>
      </w:r>
      <w:r w:rsidRPr="0039320C">
        <w:t>et al.</w:t>
      </w:r>
      <w:r w:rsidRPr="00C1292F">
        <w:t xml:space="preserve"> 2008). On average, agricultural enterprises generate approximately 10 </w:t>
      </w:r>
      <w:r w:rsidR="00737FC2" w:rsidRPr="00F5089F">
        <w:t>kg ha</w:t>
      </w:r>
      <w:r w:rsidR="00737FC2" w:rsidRPr="00F5089F">
        <w:rPr>
          <w:vertAlign w:val="superscript"/>
        </w:rPr>
        <w:t>-1</w:t>
      </w:r>
      <w:r w:rsidRPr="00C1292F">
        <w:t xml:space="preserve"> nitrous oxide per year with denitrification accounting for 50% of total N losses (Price 2006). </w:t>
      </w:r>
      <w:r w:rsidR="00394C8C">
        <w:t>The potential for</w:t>
      </w:r>
      <w:r w:rsidR="00394C8C" w:rsidRPr="00C1292F">
        <w:t xml:space="preserve"> enhanced efficiency fertilisers </w:t>
      </w:r>
      <w:r w:rsidR="00394C8C">
        <w:t xml:space="preserve">to reduce these losses </w:t>
      </w:r>
      <w:r w:rsidR="00394C8C" w:rsidRPr="00C1292F">
        <w:t xml:space="preserve">within the Australian cotton industry </w:t>
      </w:r>
      <w:r w:rsidR="00394C8C">
        <w:t xml:space="preserve">is being investigated </w:t>
      </w:r>
      <w:r w:rsidR="00394C8C" w:rsidRPr="00C1292F">
        <w:t>(</w:t>
      </w:r>
      <w:r w:rsidR="00394C8C">
        <w:t xml:space="preserve">e.g. </w:t>
      </w:r>
      <w:r w:rsidR="00394C8C" w:rsidRPr="00C1292F">
        <w:t xml:space="preserve">Chen </w:t>
      </w:r>
      <w:r w:rsidR="00394C8C" w:rsidRPr="0039320C">
        <w:t>et al.</w:t>
      </w:r>
      <w:r w:rsidR="00394C8C" w:rsidRPr="00C1292F">
        <w:t xml:space="preserve"> 2008). </w:t>
      </w:r>
      <w:r w:rsidR="003C1BB8">
        <w:t xml:space="preserve">In the 2014-15 season, </w:t>
      </w:r>
      <w:r w:rsidR="003C1BB8" w:rsidRPr="003C1BB8">
        <w:t xml:space="preserve">30% of </w:t>
      </w:r>
      <w:r w:rsidR="003C1BB8">
        <w:t>Australian</w:t>
      </w:r>
      <w:r w:rsidR="003C1BB8" w:rsidRPr="003C1BB8">
        <w:t xml:space="preserve"> irrigated cotton crops </w:t>
      </w:r>
      <w:r w:rsidR="003C1BB8">
        <w:t xml:space="preserve">received between 250 and 350 kg/ha of N and 50% of the crops received rates higher than </w:t>
      </w:r>
      <w:r w:rsidR="003C1BB8" w:rsidRPr="003C1BB8">
        <w:t>350 kg/ha of N</w:t>
      </w:r>
      <w:r w:rsidR="003C1BB8">
        <w:t xml:space="preserve"> (CRDC &amp; CCA</w:t>
      </w:r>
      <w:r w:rsidR="003C1BB8" w:rsidRPr="003C1BB8">
        <w:t xml:space="preserve">, 2015). </w:t>
      </w:r>
      <w:r w:rsidRPr="00C1292F">
        <w:t xml:space="preserve">Knowledge of </w:t>
      </w:r>
      <w:r w:rsidR="003C1BB8">
        <w:t xml:space="preserve">the timing and rate of </w:t>
      </w:r>
      <w:r w:rsidRPr="00C1292F">
        <w:t xml:space="preserve">inorganic N supply </w:t>
      </w:r>
      <w:r w:rsidR="003C1BB8">
        <w:t>from</w:t>
      </w:r>
      <w:r w:rsidR="0015697A">
        <w:t xml:space="preserve"> unfertilised and fertilised</w:t>
      </w:r>
      <w:r w:rsidR="003C1BB8">
        <w:t xml:space="preserve"> soil throughout</w:t>
      </w:r>
      <w:r w:rsidRPr="00C1292F">
        <w:t xml:space="preserve"> a cotton season is</w:t>
      </w:r>
      <w:r w:rsidR="0015697A">
        <w:t xml:space="preserve"> still</w:t>
      </w:r>
      <w:r w:rsidRPr="00C1292F">
        <w:t xml:space="preserve"> limited</w:t>
      </w:r>
      <w:r w:rsidR="003C1BB8">
        <w:t>,</w:t>
      </w:r>
      <w:r w:rsidRPr="00C1292F">
        <w:t xml:space="preserve"> however</w:t>
      </w:r>
      <w:r w:rsidR="00E92F0F">
        <w:t xml:space="preserve">. </w:t>
      </w:r>
    </w:p>
    <w:p w:rsidR="00C1292F" w:rsidRPr="00C1292F" w:rsidRDefault="00C1292F" w:rsidP="00C1292F"/>
    <w:p w:rsidR="00C1292F" w:rsidRPr="00C1292F" w:rsidRDefault="00C1292F" w:rsidP="00C1292F">
      <w:r w:rsidRPr="00C1292F">
        <w:t xml:space="preserve">To help fill these knowledge gaps, this investigation compared the N release characteristics and greenhouse gas emissions </w:t>
      </w:r>
      <w:r w:rsidR="00883A28">
        <w:t xml:space="preserve">(GHG) </w:t>
      </w:r>
      <w:r w:rsidRPr="00C1292F">
        <w:t xml:space="preserve">of standard </w:t>
      </w:r>
      <w:r w:rsidR="00760174">
        <w:t>urea</w:t>
      </w:r>
      <w:r w:rsidRPr="00C1292F">
        <w:t xml:space="preserve"> with ENTEC® </w:t>
      </w:r>
      <w:r w:rsidR="00E92F0F">
        <w:t>u</w:t>
      </w:r>
      <w:r w:rsidR="00760174">
        <w:t>rea</w:t>
      </w:r>
      <w:r w:rsidRPr="00C1292F">
        <w:t xml:space="preserve">. ENTEC® </w:t>
      </w:r>
      <w:r w:rsidR="00E92F0F">
        <w:t>u</w:t>
      </w:r>
      <w:r w:rsidR="00760174">
        <w:t>rea</w:t>
      </w:r>
      <w:r w:rsidRPr="00C1292F">
        <w:t xml:space="preserve"> is a</w:t>
      </w:r>
      <w:r w:rsidR="00394C8C">
        <w:t>n enhanced efficiency</w:t>
      </w:r>
      <w:r w:rsidRPr="00C1292F">
        <w:t xml:space="preserve"> fertiliser containing the nitrification inhibitor 3, 4-dimethylpyrazole phosphate (DMPP)</w:t>
      </w:r>
      <w:r w:rsidR="003D1395">
        <w:t>.</w:t>
      </w:r>
      <w:r w:rsidRPr="00C1292F">
        <w:t xml:space="preserve"> The nitrification inhibitor is designed to delay the onset of nitrification by slowing the conversion of ammonium to nitrate by soil </w:t>
      </w:r>
      <w:r w:rsidRPr="00C1292F">
        <w:rPr>
          <w:i/>
        </w:rPr>
        <w:t>Nitrosomonas</w:t>
      </w:r>
      <w:r w:rsidRPr="00C1292F">
        <w:t xml:space="preserve"> </w:t>
      </w:r>
      <w:r w:rsidRPr="00C1292F">
        <w:rPr>
          <w:i/>
        </w:rPr>
        <w:t>spp</w:t>
      </w:r>
      <w:r w:rsidRPr="00C1292F">
        <w:t xml:space="preserve">. bacteria after </w:t>
      </w:r>
      <w:r w:rsidR="00760174">
        <w:t>urea</w:t>
      </w:r>
      <w:r w:rsidRPr="00C1292F">
        <w:t xml:space="preserve"> hydrolysis has occurred. The objective of this investigation was to identify the time of maximum net mineral </w:t>
      </w:r>
      <w:r w:rsidR="003D1395">
        <w:t>N</w:t>
      </w:r>
      <w:r w:rsidRPr="00C1292F">
        <w:t xml:space="preserve"> supply from a </w:t>
      </w:r>
      <w:r w:rsidR="00737FC2">
        <w:t xml:space="preserve">Black </w:t>
      </w:r>
      <w:r w:rsidRPr="00C1292F">
        <w:t>Vertosol amended with</w:t>
      </w:r>
      <w:r w:rsidR="00BB43C3">
        <w:t xml:space="preserve"> the </w:t>
      </w:r>
      <w:r w:rsidRPr="00C1292F">
        <w:t xml:space="preserve">two N fertiliser formulations, as well as </w:t>
      </w:r>
      <w:r w:rsidR="00BB43C3">
        <w:t xml:space="preserve">to </w:t>
      </w:r>
      <w:r w:rsidRPr="00C1292F">
        <w:t>evaluat</w:t>
      </w:r>
      <w:r w:rsidR="00BB43C3">
        <w:t xml:space="preserve">e the effect </w:t>
      </w:r>
      <w:r w:rsidRPr="00C1292F">
        <w:t xml:space="preserve">of those formulations on </w:t>
      </w:r>
      <w:r w:rsidR="00883A28">
        <w:t>GHG</w:t>
      </w:r>
      <w:r w:rsidRPr="00C1292F">
        <w:t xml:space="preserve"> under controlled conditions of temperature and soil moisture.</w:t>
      </w:r>
    </w:p>
    <w:p w:rsidR="00BB7D7B" w:rsidRDefault="00BB7D7B"/>
    <w:p w:rsidR="00BB7D7B" w:rsidRDefault="00C1292F">
      <w:pPr>
        <w:pStyle w:val="Heading1"/>
      </w:pPr>
      <w:r>
        <w:t>Method</w:t>
      </w:r>
    </w:p>
    <w:p w:rsidR="00C1292F" w:rsidRPr="00C1292F" w:rsidRDefault="00C1292F" w:rsidP="00C1292F">
      <w:r w:rsidRPr="00C1292F">
        <w:t xml:space="preserve">A Black </w:t>
      </w:r>
      <w:r w:rsidR="00670852">
        <w:t xml:space="preserve">Vertosol, representative of many </w:t>
      </w:r>
      <w:r w:rsidRPr="00C1292F">
        <w:t xml:space="preserve">cotton growing </w:t>
      </w:r>
      <w:r w:rsidR="00670852">
        <w:t>soils</w:t>
      </w:r>
      <w:r w:rsidRPr="00C1292F">
        <w:t xml:space="preserve"> in Australia, was collected (depth range: 0-200 mm) from an irrigated cotton farm </w:t>
      </w:r>
      <w:r w:rsidR="00571D1E">
        <w:t>on the Darling Downs in south-east</w:t>
      </w:r>
      <w:r w:rsidRPr="00C1292F">
        <w:t xml:space="preserve"> Queensland. Soil physical and chemical properties based on standard laboratory procedures</w:t>
      </w:r>
      <w:r w:rsidR="00571D1E">
        <w:t xml:space="preserve"> were</w:t>
      </w:r>
      <w:r w:rsidRPr="00C1292F">
        <w:t>:</w:t>
      </w:r>
    </w:p>
    <w:p w:rsidR="00670852" w:rsidRDefault="00670852" w:rsidP="00F5089F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Bulk density: </w:t>
      </w:r>
      <w:r w:rsidR="00F5089F" w:rsidRPr="00F5089F">
        <w:rPr>
          <w:lang w:val="en-US"/>
        </w:rPr>
        <w:t>1.00 ±</w:t>
      </w:r>
      <w:r w:rsidR="00BB6FD2">
        <w:rPr>
          <w:lang w:val="en-US"/>
        </w:rPr>
        <w:t xml:space="preserve"> </w:t>
      </w:r>
      <w:r w:rsidR="00F5089F" w:rsidRPr="00F5089F">
        <w:rPr>
          <w:lang w:val="en-US"/>
        </w:rPr>
        <w:t>0.03 g cm</w:t>
      </w:r>
      <w:r w:rsidR="00F5089F" w:rsidRPr="00F5089F">
        <w:rPr>
          <w:vertAlign w:val="superscript"/>
          <w:lang w:val="en-US"/>
        </w:rPr>
        <w:t>-3</w:t>
      </w:r>
    </w:p>
    <w:p w:rsidR="00F5089F" w:rsidRPr="00F5089F" w:rsidRDefault="00F5089F" w:rsidP="00F5089F">
      <w:pPr>
        <w:numPr>
          <w:ilvl w:val="0"/>
          <w:numId w:val="27"/>
        </w:numPr>
        <w:rPr>
          <w:lang w:val="en-US"/>
        </w:rPr>
      </w:pPr>
      <w:r w:rsidRPr="00F5089F">
        <w:rPr>
          <w:lang w:val="en-US"/>
        </w:rPr>
        <w:t>Field capacity</w:t>
      </w:r>
      <w:r w:rsidR="00022EDF">
        <w:rPr>
          <w:lang w:val="en-US"/>
        </w:rPr>
        <w:t xml:space="preserve"> </w:t>
      </w:r>
      <w:r w:rsidR="001C4229">
        <w:rPr>
          <w:lang w:val="en-US"/>
        </w:rPr>
        <w:t xml:space="preserve">(FC) </w:t>
      </w:r>
      <w:r w:rsidR="00670852">
        <w:rPr>
          <w:lang w:val="en-US"/>
        </w:rPr>
        <w:t xml:space="preserve">moisture content: </w:t>
      </w:r>
      <w:r w:rsidR="00022EDF">
        <w:rPr>
          <w:lang w:val="en-US"/>
        </w:rPr>
        <w:t>40</w:t>
      </w:r>
      <w:r w:rsidR="00670852">
        <w:rPr>
          <w:lang w:val="en-US"/>
        </w:rPr>
        <w:t xml:space="preserve"> </w:t>
      </w:r>
      <w:r w:rsidR="00022EDF">
        <w:rPr>
          <w:lang w:val="en-US"/>
        </w:rPr>
        <w:t>%</w:t>
      </w:r>
      <w:r w:rsidRPr="00F5089F">
        <w:rPr>
          <w:lang w:val="en-US"/>
        </w:rPr>
        <w:t>,</w:t>
      </w:r>
    </w:p>
    <w:p w:rsidR="00F5089F" w:rsidRPr="00F5089F" w:rsidRDefault="00F5089F" w:rsidP="00F5089F">
      <w:pPr>
        <w:numPr>
          <w:ilvl w:val="0"/>
          <w:numId w:val="27"/>
        </w:numPr>
        <w:rPr>
          <w:lang w:val="en-US"/>
        </w:rPr>
      </w:pPr>
      <w:r w:rsidRPr="00F5089F">
        <w:rPr>
          <w:lang w:val="en-US"/>
        </w:rPr>
        <w:t>Ammonium-N (NH</w:t>
      </w:r>
      <w:r w:rsidRPr="00F5089F">
        <w:rPr>
          <w:vertAlign w:val="subscript"/>
          <w:lang w:val="en-US"/>
        </w:rPr>
        <w:t>4</w:t>
      </w:r>
      <w:r w:rsidRPr="00F5089F">
        <w:rPr>
          <w:vertAlign w:val="superscript"/>
          <w:lang w:val="en-US"/>
        </w:rPr>
        <w:t>+</w:t>
      </w:r>
      <w:r w:rsidR="00670852">
        <w:rPr>
          <w:lang w:val="en-US"/>
        </w:rPr>
        <w:t xml:space="preserve">-N): </w:t>
      </w:r>
      <w:r w:rsidRPr="00F5089F">
        <w:rPr>
          <w:lang w:val="en-US"/>
        </w:rPr>
        <w:t>3.5 mg kg</w:t>
      </w:r>
      <w:r w:rsidRPr="00F5089F">
        <w:rPr>
          <w:vertAlign w:val="superscript"/>
          <w:lang w:val="en-US"/>
        </w:rPr>
        <w:t>-1</w:t>
      </w:r>
      <w:r w:rsidRPr="00F5089F">
        <w:rPr>
          <w:lang w:val="en-US"/>
        </w:rPr>
        <w:t>,</w:t>
      </w:r>
    </w:p>
    <w:p w:rsidR="00F5089F" w:rsidRDefault="00F5089F" w:rsidP="00F5089F">
      <w:pPr>
        <w:numPr>
          <w:ilvl w:val="0"/>
          <w:numId w:val="27"/>
        </w:numPr>
        <w:rPr>
          <w:lang w:val="en-US"/>
        </w:rPr>
      </w:pPr>
      <w:r w:rsidRPr="00F5089F">
        <w:rPr>
          <w:lang w:val="en-US"/>
        </w:rPr>
        <w:t>Nitrate-N (NO</w:t>
      </w:r>
      <w:r w:rsidRPr="00F5089F">
        <w:rPr>
          <w:vertAlign w:val="subscript"/>
          <w:lang w:val="en-US"/>
        </w:rPr>
        <w:t>3</w:t>
      </w:r>
      <w:r w:rsidRPr="00F5089F">
        <w:rPr>
          <w:vertAlign w:val="superscript"/>
          <w:lang w:val="en-US"/>
        </w:rPr>
        <w:t>-</w:t>
      </w:r>
      <w:r w:rsidRPr="00F5089F">
        <w:rPr>
          <w:lang w:val="en-US"/>
        </w:rPr>
        <w:t>-N)</w:t>
      </w:r>
      <w:r w:rsidR="00670852">
        <w:rPr>
          <w:lang w:val="en-US"/>
        </w:rPr>
        <w:t>:</w:t>
      </w:r>
      <w:r w:rsidRPr="00F5089F">
        <w:rPr>
          <w:lang w:val="en-US"/>
        </w:rPr>
        <w:t xml:space="preserve"> &lt;0.5 mg kg</w:t>
      </w:r>
      <w:r w:rsidRPr="00F5089F">
        <w:rPr>
          <w:vertAlign w:val="superscript"/>
          <w:lang w:val="en-US"/>
        </w:rPr>
        <w:t>-1</w:t>
      </w:r>
      <w:r w:rsidRPr="00F5089F">
        <w:rPr>
          <w:lang w:val="en-US"/>
        </w:rPr>
        <w:t>,</w:t>
      </w:r>
    </w:p>
    <w:p w:rsidR="00394C8C" w:rsidRPr="00F5089F" w:rsidRDefault="00394C8C" w:rsidP="00BB6FD2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pH:</w:t>
      </w:r>
      <w:r w:rsidR="00BB6FD2">
        <w:rPr>
          <w:lang w:val="en-US"/>
        </w:rPr>
        <w:t xml:space="preserve"> </w:t>
      </w:r>
      <w:r w:rsidR="00BB6FD2" w:rsidRPr="00BB6FD2">
        <w:rPr>
          <w:lang w:val="en-US"/>
        </w:rPr>
        <w:t>8.4</w:t>
      </w:r>
      <w:r w:rsidR="00BB6FD2">
        <w:rPr>
          <w:lang w:val="en-US"/>
        </w:rPr>
        <w:t xml:space="preserve"> </w:t>
      </w:r>
      <w:r w:rsidR="00BB6FD2" w:rsidRPr="00BB6FD2">
        <w:rPr>
          <w:lang w:val="en-US"/>
        </w:rPr>
        <w:t>±</w:t>
      </w:r>
      <w:r w:rsidR="00BB6FD2">
        <w:rPr>
          <w:lang w:val="en-US"/>
        </w:rPr>
        <w:t xml:space="preserve"> </w:t>
      </w:r>
      <w:r w:rsidR="00BB6FD2" w:rsidRPr="00BB6FD2">
        <w:rPr>
          <w:lang w:val="en-US"/>
        </w:rPr>
        <w:t xml:space="preserve">0.01 </w:t>
      </w:r>
    </w:p>
    <w:p w:rsidR="00F5089F" w:rsidRPr="00F5089F" w:rsidRDefault="00F5089F" w:rsidP="00022EDF"/>
    <w:p w:rsidR="00F5089F" w:rsidRPr="00F5089F" w:rsidRDefault="00F5089F" w:rsidP="00F5089F">
      <w:r w:rsidRPr="00F5089F">
        <w:lastRenderedPageBreak/>
        <w:t xml:space="preserve">An aerobic incubation study was conducted to investigate the effects of fertiliser formulation on mineral </w:t>
      </w:r>
      <w:r w:rsidR="00883A28">
        <w:t>N supply and GHG</w:t>
      </w:r>
      <w:r w:rsidRPr="00F5089F">
        <w:t xml:space="preserve"> emissions under controlled conditions of moisture (betw</w:t>
      </w:r>
      <w:r w:rsidR="00883A28">
        <w:t xml:space="preserve">een </w:t>
      </w:r>
      <w:r w:rsidR="001C4229">
        <w:t>FC</w:t>
      </w:r>
      <w:r w:rsidR="00883A28">
        <w:t xml:space="preserve"> and 75% of </w:t>
      </w:r>
      <w:r w:rsidR="001C4229">
        <w:t>FC</w:t>
      </w:r>
      <w:r w:rsidRPr="00F5089F">
        <w:t>) and temperature (25</w:t>
      </w:r>
      <w:r w:rsidR="001C4229">
        <w:t xml:space="preserve"> </w:t>
      </w:r>
      <w:r w:rsidRPr="00F5089F">
        <w:t>±</w:t>
      </w:r>
      <w:r w:rsidR="001C4229">
        <w:t xml:space="preserve"> </w:t>
      </w:r>
      <w:r w:rsidRPr="00F5089F">
        <w:t>0.5</w:t>
      </w:r>
      <w:r w:rsidR="00883A28">
        <w:t xml:space="preserve"> </w:t>
      </w:r>
      <w:r w:rsidRPr="00F5089F">
        <w:t>°C)</w:t>
      </w:r>
      <w:r w:rsidR="001C4229">
        <w:t>.</w:t>
      </w:r>
      <w:r w:rsidRPr="00F5089F">
        <w:t xml:space="preserve"> </w:t>
      </w:r>
      <w:r w:rsidR="001C4229" w:rsidRPr="001C4229">
        <w:t xml:space="preserve">A similar technique was used satisfactorily by Antille et al. (2014). </w:t>
      </w:r>
      <w:r w:rsidRPr="00F5089F">
        <w:t xml:space="preserve">For both </w:t>
      </w:r>
      <w:r w:rsidR="007C5A6A">
        <w:t>urea</w:t>
      </w:r>
      <w:r w:rsidRPr="00F5089F">
        <w:t xml:space="preserve"> and ENTEC® </w:t>
      </w:r>
      <w:r w:rsidR="007C5A6A">
        <w:t>urea</w:t>
      </w:r>
      <w:r w:rsidRPr="00F5089F">
        <w:t xml:space="preserve"> amended soils, fertiliser was applied at a field-equivalent rate of 600 kg ha</w:t>
      </w:r>
      <w:r w:rsidRPr="00F5089F">
        <w:rPr>
          <w:vertAlign w:val="superscript"/>
        </w:rPr>
        <w:t>-1</w:t>
      </w:r>
      <w:r w:rsidRPr="00F5089F">
        <w:t xml:space="preserve"> of N, and there was also a</w:t>
      </w:r>
      <w:r w:rsidR="00883A28">
        <w:t>n unfertilised treatment</w:t>
      </w:r>
      <w:r w:rsidRPr="00F5089F">
        <w:t xml:space="preserve"> (control). </w:t>
      </w:r>
      <w:r w:rsidR="001C4229" w:rsidRPr="001C4229">
        <w:t xml:space="preserve">The applied fertiliser rate was about twice the rate </w:t>
      </w:r>
      <w:r w:rsidR="001C455D">
        <w:t xml:space="preserve">commonly applied but this was required </w:t>
      </w:r>
      <w:r w:rsidR="001C4229" w:rsidRPr="001C4229">
        <w:t xml:space="preserve">to </w:t>
      </w:r>
      <w:r w:rsidR="001C455D">
        <w:t xml:space="preserve">allow un-ground fertiliser granules to be used and added in </w:t>
      </w:r>
      <w:r w:rsidR="001C4229" w:rsidRPr="001C4229">
        <w:t xml:space="preserve">equal mass to each pot. </w:t>
      </w:r>
      <w:r w:rsidRPr="00F5089F">
        <w:t xml:space="preserve">The treatments were applied at the commencement of the incubation to four replicated pots of 300 g air-dried and sieved (&lt;2 mm) soil. Pots were </w:t>
      </w:r>
      <w:r w:rsidR="003D4E13">
        <w:t xml:space="preserve">then </w:t>
      </w:r>
      <w:r w:rsidRPr="00F5089F">
        <w:t>wetted-up to reach field capacity and placed in the inc</w:t>
      </w:r>
      <w:r w:rsidR="001C455D">
        <w:t xml:space="preserve">ubator for a period of 60 days. </w:t>
      </w:r>
      <w:r w:rsidRPr="00F5089F">
        <w:t xml:space="preserve">Soil was </w:t>
      </w:r>
      <w:r w:rsidR="00B07845">
        <w:t xml:space="preserve">weighed and re-wetted every 2-3 days to maintain the target moisture condition, and was always </w:t>
      </w:r>
      <w:r w:rsidR="001C455D" w:rsidRPr="00B07845">
        <w:t xml:space="preserve">wetted up </w:t>
      </w:r>
      <w:r w:rsidR="00B07845" w:rsidRPr="00B07845">
        <w:t>the day before</w:t>
      </w:r>
      <w:r w:rsidR="00B07845">
        <w:t xml:space="preserve"> sampling. Sampling occurred </w:t>
      </w:r>
      <w:r w:rsidR="001C455D">
        <w:t xml:space="preserve">on </w:t>
      </w:r>
      <w:r w:rsidRPr="00F5089F">
        <w:t xml:space="preserve">days 0, 3, 7, 14, 30, 45 and 60, and </w:t>
      </w:r>
      <w:r w:rsidR="003D4E13">
        <w:t xml:space="preserve">soil samples were </w:t>
      </w:r>
      <w:r w:rsidRPr="00F5089F">
        <w:t xml:space="preserve">analysed </w:t>
      </w:r>
      <w:r w:rsidR="00880ECF">
        <w:t xml:space="preserve">colorimetrically </w:t>
      </w:r>
      <w:r w:rsidRPr="00F5089F">
        <w:t>for mine</w:t>
      </w:r>
      <w:r w:rsidR="00883A28">
        <w:t>ral N (nitrate-N and ammonium-N</w:t>
      </w:r>
      <w:r w:rsidRPr="00F5089F">
        <w:t>)</w:t>
      </w:r>
      <w:r w:rsidR="00880ECF">
        <w:t xml:space="preserve"> (</w:t>
      </w:r>
      <w:r w:rsidR="00883A28">
        <w:t xml:space="preserve">Hach Company 2013 methods; </w:t>
      </w:r>
      <w:r w:rsidR="00880ECF">
        <w:t xml:space="preserve">Cadmium Reduction Method 8039, USEPA Nessler Method 8038). </w:t>
      </w:r>
      <w:r w:rsidRPr="00F5089F">
        <w:t>Greenhouse gases (N</w:t>
      </w:r>
      <w:r w:rsidRPr="00F5089F">
        <w:rPr>
          <w:vertAlign w:val="subscript"/>
        </w:rPr>
        <w:t>2</w:t>
      </w:r>
      <w:r w:rsidRPr="00F5089F">
        <w:t>O, CH</w:t>
      </w:r>
      <w:r w:rsidRPr="00F5089F">
        <w:rPr>
          <w:vertAlign w:val="subscript"/>
        </w:rPr>
        <w:t>4</w:t>
      </w:r>
      <w:r w:rsidR="004533ED">
        <w:t xml:space="preserve">, </w:t>
      </w:r>
      <w:r w:rsidRPr="00F5089F">
        <w:t>CO</w:t>
      </w:r>
      <w:r w:rsidRPr="00F5089F">
        <w:rPr>
          <w:vertAlign w:val="subscript"/>
        </w:rPr>
        <w:t>2</w:t>
      </w:r>
      <w:r w:rsidRPr="00F5089F">
        <w:t xml:space="preserve">) were sampled on days 1, 2, 3, 4, 5, 17, 46, and 60 using the static technique (Collier </w:t>
      </w:r>
      <w:r w:rsidRPr="0039320C">
        <w:t xml:space="preserve">et al. </w:t>
      </w:r>
      <w:r w:rsidR="00C6271A">
        <w:t>2014). Gas samples were extracted in a 25</w:t>
      </w:r>
      <w:r w:rsidR="00C6271A" w:rsidRPr="00C6271A">
        <w:rPr>
          <w:vertAlign w:val="superscript"/>
        </w:rPr>
        <w:t>o</w:t>
      </w:r>
      <w:r w:rsidR="00C6271A">
        <w:t xml:space="preserve">C laboratory </w:t>
      </w:r>
      <w:r w:rsidRPr="00F5089F">
        <w:t xml:space="preserve">at </w:t>
      </w:r>
      <w:r w:rsidR="003D4E13">
        <w:t>intervals</w:t>
      </w:r>
      <w:r w:rsidR="00D921C2">
        <w:t xml:space="preserve"> of </w:t>
      </w:r>
      <w:r w:rsidRPr="00F5089F">
        <w:t>0, 15, 30, and 45 minutes after sealing</w:t>
      </w:r>
      <w:r w:rsidR="00C6271A">
        <w:t xml:space="preserve"> each pot</w:t>
      </w:r>
      <w:r w:rsidRPr="00F5089F">
        <w:t>, and analysed by gas chromatography. Subsequently, fluxes were estimated by assuming a linear increase of gaseous emission over each sampling period of 0-45 min for each pot and sampling day. A two-way ANOVA was undertaken with GenStat 16</w:t>
      </w:r>
      <w:r w:rsidRPr="00F5089F">
        <w:rPr>
          <w:vertAlign w:val="superscript"/>
        </w:rPr>
        <w:t>th</w:t>
      </w:r>
      <w:r w:rsidRPr="00F5089F">
        <w:t xml:space="preserve"> Edition</w:t>
      </w:r>
      <w:r w:rsidR="00C6271A">
        <w:t xml:space="preserve"> software </w:t>
      </w:r>
      <w:r w:rsidRPr="00F5089F">
        <w:t xml:space="preserve">(VSN International, 2014) to determine differences in soil mineral </w:t>
      </w:r>
      <w:r w:rsidR="00883A28">
        <w:t>N</w:t>
      </w:r>
      <w:r w:rsidRPr="00F5089F">
        <w:t xml:space="preserve"> concentratio</w:t>
      </w:r>
      <w:r w:rsidR="00C6271A">
        <w:t xml:space="preserve">ns and GHG fluxes. </w:t>
      </w:r>
      <w:r w:rsidRPr="00F5089F">
        <w:t xml:space="preserve">Least significant differences </w:t>
      </w:r>
      <w:r w:rsidR="00C6271A">
        <w:t>(</w:t>
      </w:r>
      <w:r w:rsidRPr="00F5089F">
        <w:t xml:space="preserve">5% level) were used to compare means. </w:t>
      </w:r>
    </w:p>
    <w:p w:rsidR="00BB7D7B" w:rsidRDefault="00BB7D7B"/>
    <w:p w:rsidR="00BB7D7B" w:rsidRDefault="00BB7D7B">
      <w:pPr>
        <w:pStyle w:val="Heading1"/>
      </w:pPr>
      <w:r>
        <w:t>Results</w:t>
      </w:r>
      <w:r w:rsidR="00737FC2">
        <w:t xml:space="preserve"> and d</w:t>
      </w:r>
      <w:r w:rsidR="00F5089F">
        <w:t>iscussion</w:t>
      </w:r>
    </w:p>
    <w:p w:rsidR="00B5582F" w:rsidRDefault="00B5582F" w:rsidP="00F5089F">
      <w:pPr>
        <w:rPr>
          <w:i/>
        </w:rPr>
      </w:pPr>
    </w:p>
    <w:p w:rsidR="00F5089F" w:rsidRPr="00F5089F" w:rsidRDefault="00F5089F" w:rsidP="00F5089F">
      <w:pPr>
        <w:rPr>
          <w:i/>
        </w:rPr>
      </w:pPr>
      <w:r w:rsidRPr="00F5089F">
        <w:rPr>
          <w:i/>
        </w:rPr>
        <w:t xml:space="preserve">Soil mineral nitrogen </w:t>
      </w:r>
    </w:p>
    <w:p w:rsidR="00F5089F" w:rsidRDefault="00880ECF" w:rsidP="00F5089F">
      <w:r w:rsidRPr="00F5089F">
        <w:t xml:space="preserve">Measured concentrations </w:t>
      </w:r>
      <w:r w:rsidR="00D94A07">
        <w:t xml:space="preserve">of mineral N fractions </w:t>
      </w:r>
      <w:r w:rsidRPr="00F5089F">
        <w:t>were comparable across treatments, but absolute levels were higher than anticipated (by</w:t>
      </w:r>
      <w:r>
        <w:t xml:space="preserve"> on average 30 </w:t>
      </w:r>
      <w:r w:rsidRPr="00F5089F">
        <w:rPr>
          <w:lang w:val="en-US"/>
        </w:rPr>
        <w:t>mg kg</w:t>
      </w:r>
      <w:r w:rsidRPr="00F5089F">
        <w:rPr>
          <w:vertAlign w:val="superscript"/>
          <w:lang w:val="en-US"/>
        </w:rPr>
        <w:t>-1</w:t>
      </w:r>
      <w:r w:rsidRPr="00F5089F">
        <w:t>). This</w:t>
      </w:r>
      <w:r w:rsidR="00B66E0A">
        <w:t xml:space="preserve"> was attributed to interference </w:t>
      </w:r>
      <w:r w:rsidRPr="00F5089F">
        <w:t xml:space="preserve">by high chloride concentrations when using the Hach spectrophotometer methods. </w:t>
      </w:r>
      <w:r>
        <w:t xml:space="preserve">Overall, </w:t>
      </w:r>
      <w:r w:rsidR="007C5A6A">
        <w:t>urea</w:t>
      </w:r>
      <w:r w:rsidR="00F5089F" w:rsidRPr="00F5089F">
        <w:t>-treated soil had a significantly higher (P&lt;0.05) supply rate of both NH</w:t>
      </w:r>
      <w:r w:rsidR="00F5089F" w:rsidRPr="00F5089F">
        <w:rPr>
          <w:vertAlign w:val="subscript"/>
        </w:rPr>
        <w:t>4</w:t>
      </w:r>
      <w:r w:rsidR="00F5089F" w:rsidRPr="00F5089F">
        <w:rPr>
          <w:vertAlign w:val="superscript"/>
        </w:rPr>
        <w:t>+</w:t>
      </w:r>
      <w:r w:rsidR="00F5089F" w:rsidRPr="00F5089F">
        <w:t>-N and NO</w:t>
      </w:r>
      <w:r w:rsidR="00F5089F" w:rsidRPr="00F5089F">
        <w:rPr>
          <w:vertAlign w:val="subscript"/>
        </w:rPr>
        <w:t>3</w:t>
      </w:r>
      <w:r w:rsidR="00D94A07">
        <w:t>-N</w:t>
      </w:r>
      <w:r w:rsidR="00F5089F" w:rsidRPr="00F5089F">
        <w:t xml:space="preserve"> than the control and ENTEC® </w:t>
      </w:r>
      <w:r w:rsidR="00E92F0F">
        <w:t>urea</w:t>
      </w:r>
      <w:r w:rsidR="00F5089F" w:rsidRPr="00F5089F">
        <w:t xml:space="preserve">-treated soil (Figure 1a-b). </w:t>
      </w:r>
      <w:r w:rsidR="00025720">
        <w:t>As expected due to inhibition of nitrification, u</w:t>
      </w:r>
      <w:r w:rsidR="00760174">
        <w:t>rea</w:t>
      </w:r>
      <w:r w:rsidR="00F5089F" w:rsidRPr="00F5089F">
        <w:t xml:space="preserve"> supplied </w:t>
      </w:r>
      <w:r w:rsidR="00025720" w:rsidRPr="00F5089F">
        <w:t>1.8 times the amount of NO</w:t>
      </w:r>
      <w:r w:rsidR="00025720" w:rsidRPr="00F5089F">
        <w:rPr>
          <w:vertAlign w:val="subscript"/>
        </w:rPr>
        <w:t>3</w:t>
      </w:r>
      <w:r w:rsidR="00025720" w:rsidRPr="00F5089F">
        <w:t xml:space="preserve">-N </w:t>
      </w:r>
      <w:r w:rsidR="00F5089F" w:rsidRPr="00F5089F">
        <w:t xml:space="preserve">than ENTEC® </w:t>
      </w:r>
      <w:r w:rsidR="00760174">
        <w:t>urea</w:t>
      </w:r>
      <w:r w:rsidR="00025720">
        <w:t xml:space="preserve"> </w:t>
      </w:r>
      <w:r w:rsidR="00F5089F" w:rsidRPr="00F5089F">
        <w:t>over the 60-day period</w:t>
      </w:r>
      <w:r w:rsidR="00025720">
        <w:t xml:space="preserve">. However, rather than supplying concomitantly less </w:t>
      </w:r>
      <w:r w:rsidR="00025720" w:rsidRPr="00F5089F">
        <w:t>NH</w:t>
      </w:r>
      <w:r w:rsidR="00025720" w:rsidRPr="00F5089F">
        <w:rPr>
          <w:vertAlign w:val="subscript"/>
        </w:rPr>
        <w:t>4</w:t>
      </w:r>
      <w:r w:rsidR="00025720" w:rsidRPr="00F5089F">
        <w:rPr>
          <w:vertAlign w:val="superscript"/>
        </w:rPr>
        <w:t>+</w:t>
      </w:r>
      <w:r w:rsidR="00025720" w:rsidRPr="00F5089F">
        <w:t>-N</w:t>
      </w:r>
      <w:r w:rsidR="00025720">
        <w:t xml:space="preserve">, urea also supplied </w:t>
      </w:r>
      <w:r w:rsidR="00025720" w:rsidRPr="00F5089F">
        <w:t>2.4 times the amount of</w:t>
      </w:r>
      <w:r w:rsidR="00025720">
        <w:t xml:space="preserve"> </w:t>
      </w:r>
      <w:r w:rsidR="00025720" w:rsidRPr="00025720">
        <w:t>NH</w:t>
      </w:r>
      <w:r w:rsidR="00025720" w:rsidRPr="00832145">
        <w:rPr>
          <w:vertAlign w:val="subscript"/>
        </w:rPr>
        <w:t>4</w:t>
      </w:r>
      <w:r w:rsidR="00025720" w:rsidRPr="00832145">
        <w:rPr>
          <w:vertAlign w:val="superscript"/>
        </w:rPr>
        <w:t>+</w:t>
      </w:r>
      <w:r w:rsidR="00025720" w:rsidRPr="00025720">
        <w:t>-N than ENTEC® urea</w:t>
      </w:r>
      <w:r w:rsidR="002F0D06">
        <w:t>.</w:t>
      </w:r>
      <w:r w:rsidR="00F5089F" w:rsidRPr="00F5089F">
        <w:t xml:space="preserve"> Trends of net ammonium and nitrate supply followed trends recorded in field trials for irrigated cotton (e.g., Chen et al. 2008). The unfertilised control soil had low mineral N concentrations, possibly due to rapid immobilisation under the prevailing experim</w:t>
      </w:r>
      <w:r w:rsidR="00B66E0A">
        <w:t>ental conditions (Tejada et al.</w:t>
      </w:r>
      <w:r w:rsidR="00F5089F" w:rsidRPr="00F5089F">
        <w:t xml:space="preserve"> 2002)</w:t>
      </w:r>
      <w:r w:rsidR="00D94A07">
        <w:t xml:space="preserve">. The low mineral N supply was not </w:t>
      </w:r>
      <w:r w:rsidR="00DF7E31">
        <w:t>likely</w:t>
      </w:r>
      <w:r w:rsidR="00652668">
        <w:t xml:space="preserve"> </w:t>
      </w:r>
      <w:r w:rsidR="00D94A07">
        <w:t xml:space="preserve">to be </w:t>
      </w:r>
      <w:r w:rsidR="00652668">
        <w:t xml:space="preserve">due to low microbial activation </w:t>
      </w:r>
      <w:r w:rsidR="00D94A07">
        <w:t>associated with</w:t>
      </w:r>
      <w:r w:rsidR="00652668">
        <w:t xml:space="preserve"> the short pre-incubation wetting period</w:t>
      </w:r>
      <w:r w:rsidR="00DF7E31">
        <w:t xml:space="preserve"> because there was no evidence of increas</w:t>
      </w:r>
      <w:r w:rsidR="00D94A07">
        <w:t>ing</w:t>
      </w:r>
      <w:r w:rsidR="00DF7E31">
        <w:t xml:space="preserve"> activation during the incubation. </w:t>
      </w:r>
      <w:r w:rsidR="00F5089F" w:rsidRPr="00F5089F">
        <w:t xml:space="preserve">Kliese et al. (2005) indicated a potentially mineralisable N amount of between 110-270 </w:t>
      </w:r>
      <w:r w:rsidRPr="00F5089F">
        <w:rPr>
          <w:lang w:val="en-US"/>
        </w:rPr>
        <w:t>mg kg</w:t>
      </w:r>
      <w:r w:rsidRPr="00F5089F">
        <w:rPr>
          <w:vertAlign w:val="superscript"/>
          <w:lang w:val="en-US"/>
        </w:rPr>
        <w:t>-1</w:t>
      </w:r>
      <w:r w:rsidR="000577C0">
        <w:t xml:space="preserve"> </w:t>
      </w:r>
      <w:r w:rsidR="00F5089F" w:rsidRPr="00F5089F">
        <w:t xml:space="preserve">is typical for a Black Vertosol, which was not found in this investigation. </w:t>
      </w:r>
    </w:p>
    <w:p w:rsidR="00880ECF" w:rsidRPr="00F5089F" w:rsidRDefault="00880ECF" w:rsidP="00F5089F">
      <w:pPr>
        <w:rPr>
          <w:b/>
        </w:rPr>
      </w:pPr>
    </w:p>
    <w:p w:rsidR="00F5089F" w:rsidRPr="00571D1E" w:rsidRDefault="00F5089F" w:rsidP="00F5089F">
      <w:r w:rsidRPr="00F5089F">
        <w:t xml:space="preserve">The peak ammonium concentration occurred by day 7 for both </w:t>
      </w:r>
      <w:r w:rsidR="00E92F0F">
        <w:t>urea</w:t>
      </w:r>
      <w:r w:rsidRPr="00F5089F">
        <w:t xml:space="preserve"> (</w:t>
      </w:r>
      <w:r w:rsidR="000118DD">
        <w:t>325</w:t>
      </w:r>
      <w:r w:rsidRPr="00F5089F">
        <w:t xml:space="preserve"> mg kg</w:t>
      </w:r>
      <w:r w:rsidRPr="00F5089F">
        <w:rPr>
          <w:vertAlign w:val="superscript"/>
        </w:rPr>
        <w:t>-1</w:t>
      </w:r>
      <w:r w:rsidRPr="00F5089F">
        <w:t xml:space="preserve"> of N) and ENTEC® </w:t>
      </w:r>
      <w:r w:rsidR="00E92F0F">
        <w:t>urea</w:t>
      </w:r>
      <w:r w:rsidRPr="00F5089F">
        <w:t xml:space="preserve"> (</w:t>
      </w:r>
      <w:r w:rsidR="000118DD">
        <w:t>237</w:t>
      </w:r>
      <w:r w:rsidRPr="00F5089F">
        <w:t xml:space="preserve"> mg kg</w:t>
      </w:r>
      <w:r w:rsidRPr="00F5089F">
        <w:rPr>
          <w:vertAlign w:val="superscript"/>
        </w:rPr>
        <w:t>-1</w:t>
      </w:r>
      <w:r w:rsidRPr="00F5089F">
        <w:t xml:space="preserve"> of N</w:t>
      </w:r>
      <w:r w:rsidR="000577C0">
        <w:t xml:space="preserve">). This is indicative of </w:t>
      </w:r>
      <w:r w:rsidR="00E92F0F">
        <w:t>urea</w:t>
      </w:r>
      <w:r w:rsidRPr="00F5089F">
        <w:t xml:space="preserve"> hydrolysis occurri</w:t>
      </w:r>
      <w:r w:rsidR="000118DD">
        <w:t>ng in both fertiliser treatments. However, the higher (P&lt;0.05) ammonium concentration in the urea treatment than the ENTEC® urea treatment cannot be explained as both fertilisers were fully incorporated into the soil to prevent ammonium volatilisation.</w:t>
      </w:r>
      <w:r w:rsidRPr="00F5089F">
        <w:t xml:space="preserve"> Fifty percent of the </w:t>
      </w:r>
      <w:r w:rsidR="00652668">
        <w:t xml:space="preserve">total </w:t>
      </w:r>
      <w:r w:rsidRPr="00F5089F">
        <w:t xml:space="preserve">nitrate supply from </w:t>
      </w:r>
      <w:r w:rsidR="00E92F0F">
        <w:t>urea</w:t>
      </w:r>
      <w:r w:rsidRPr="00F5089F">
        <w:t xml:space="preserve"> occurred by day 7</w:t>
      </w:r>
      <w:r w:rsidR="00652668">
        <w:t xml:space="preserve"> </w:t>
      </w:r>
      <w:r w:rsidR="00652668" w:rsidRPr="00F5089F">
        <w:t>(205 mg kg</w:t>
      </w:r>
      <w:r w:rsidR="00652668" w:rsidRPr="00F5089F">
        <w:rPr>
          <w:vertAlign w:val="superscript"/>
        </w:rPr>
        <w:t>-1</w:t>
      </w:r>
      <w:r w:rsidR="00652668" w:rsidRPr="00F5089F">
        <w:t xml:space="preserve"> of N)</w:t>
      </w:r>
      <w:r w:rsidRPr="00F5089F">
        <w:t>, and supply peaked by day 14 (398 mg kg</w:t>
      </w:r>
      <w:r w:rsidRPr="00F5089F">
        <w:rPr>
          <w:vertAlign w:val="superscript"/>
        </w:rPr>
        <w:t>-1</w:t>
      </w:r>
      <w:r w:rsidRPr="00F5089F">
        <w:t xml:space="preserve"> of N). Peak nitrate supply from ENTEC® </w:t>
      </w:r>
      <w:r w:rsidR="00E92F0F">
        <w:t>urea</w:t>
      </w:r>
      <w:r w:rsidRPr="00F5089F">
        <w:t xml:space="preserve"> fertiliser however, was delayed until at least day 60, with approximately 75% </w:t>
      </w:r>
      <w:r w:rsidR="00652668">
        <w:t xml:space="preserve">of the total </w:t>
      </w:r>
      <w:r w:rsidRPr="00F5089F">
        <w:t>supplied by day 30 (253 mg kg</w:t>
      </w:r>
      <w:r w:rsidRPr="00F5089F">
        <w:rPr>
          <w:vertAlign w:val="superscript"/>
        </w:rPr>
        <w:t>-1</w:t>
      </w:r>
      <w:r w:rsidRPr="00F5089F">
        <w:t xml:space="preserve"> of N).</w:t>
      </w:r>
      <w:r w:rsidR="000577C0">
        <w:t xml:space="preserve"> </w:t>
      </w:r>
      <w:r w:rsidRPr="00F5089F">
        <w:t xml:space="preserve">The </w:t>
      </w:r>
      <w:r w:rsidRPr="00E72A01">
        <w:t xml:space="preserve">difference </w:t>
      </w:r>
      <w:r w:rsidR="00652668" w:rsidRPr="00E72A01">
        <w:t xml:space="preserve">in the timing of peak nitrate supply </w:t>
      </w:r>
      <w:r w:rsidRPr="00E72A01">
        <w:t xml:space="preserve">between </w:t>
      </w:r>
      <w:r w:rsidRPr="00F5089F">
        <w:t xml:space="preserve">the two treatments may be </w:t>
      </w:r>
      <w:r w:rsidR="00E72A01">
        <w:t xml:space="preserve">partially </w:t>
      </w:r>
      <w:r w:rsidRPr="00F5089F">
        <w:t xml:space="preserve">attributed to the effect of the nitrification inhibitor </w:t>
      </w:r>
      <w:r w:rsidR="00B66E0A">
        <w:t>in</w:t>
      </w:r>
      <w:r w:rsidR="000577C0">
        <w:t xml:space="preserve"> ENTEC® </w:t>
      </w:r>
      <w:r w:rsidR="00E92F0F">
        <w:t>urea</w:t>
      </w:r>
      <w:r w:rsidRPr="00F5089F">
        <w:t xml:space="preserve">, which delayed the conversion of ammonium-N into nitrate-N until </w:t>
      </w:r>
      <w:r w:rsidR="00E72A01">
        <w:t xml:space="preserve">later in the incubation period. </w:t>
      </w:r>
      <w:r w:rsidR="00DF7E31">
        <w:t xml:space="preserve">However, the rapid, rather than gradual, exhaustion of ammonium in the ENTEC® urea treatment was not consistent with the gradual increase in nitrate. </w:t>
      </w:r>
      <w:r w:rsidRPr="00571D1E">
        <w:t xml:space="preserve">The peak nitrate requirement of cotton occurs between 50 and 100 days after </w:t>
      </w:r>
      <w:r w:rsidR="00571D1E" w:rsidRPr="00571D1E">
        <w:t xml:space="preserve">crop </w:t>
      </w:r>
      <w:r w:rsidRPr="00571D1E">
        <w:t xml:space="preserve">emergence. Therefore, </w:t>
      </w:r>
      <w:r w:rsidR="00571D1E" w:rsidRPr="00571D1E">
        <w:t xml:space="preserve">a delay in the </w:t>
      </w:r>
      <w:r w:rsidRPr="00571D1E">
        <w:t>peak suppl</w:t>
      </w:r>
      <w:r w:rsidR="000577C0" w:rsidRPr="00571D1E">
        <w:t xml:space="preserve">y </w:t>
      </w:r>
      <w:r w:rsidR="00571D1E" w:rsidRPr="00571D1E">
        <w:t xml:space="preserve">of nitrate </w:t>
      </w:r>
      <w:r w:rsidR="000577C0" w:rsidRPr="00571D1E">
        <w:t xml:space="preserve">from a single application of </w:t>
      </w:r>
      <w:r w:rsidRPr="00571D1E">
        <w:t xml:space="preserve">fertiliser may </w:t>
      </w:r>
      <w:r w:rsidR="00571D1E" w:rsidRPr="00571D1E">
        <w:t xml:space="preserve">help better match N supply to crop N demand in the field. </w:t>
      </w:r>
    </w:p>
    <w:p w:rsidR="000577C0" w:rsidRDefault="000577C0" w:rsidP="00737FC2">
      <w:pPr>
        <w:rPr>
          <w:i/>
          <w:lang w:val="en-GB"/>
        </w:rPr>
      </w:pPr>
    </w:p>
    <w:p w:rsidR="00F5089F" w:rsidRDefault="00737FC2" w:rsidP="00737FC2">
      <w:pPr>
        <w:rPr>
          <w:i/>
          <w:lang w:val="en-GB"/>
        </w:rPr>
      </w:pPr>
      <w:r>
        <w:rPr>
          <w:i/>
          <w:lang w:val="en-GB"/>
        </w:rPr>
        <w:t>Greenhouse gas e</w:t>
      </w:r>
      <w:r w:rsidR="00F5089F" w:rsidRPr="00737FC2">
        <w:rPr>
          <w:i/>
          <w:lang w:val="en-GB"/>
        </w:rPr>
        <w:t>missions</w:t>
      </w:r>
    </w:p>
    <w:p w:rsidR="000577C0" w:rsidRDefault="00F5089F" w:rsidP="00F5089F">
      <w:r w:rsidRPr="00F5089F">
        <w:t>There were significant differences in N</w:t>
      </w:r>
      <w:r w:rsidRPr="00F5089F">
        <w:rPr>
          <w:vertAlign w:val="subscript"/>
        </w:rPr>
        <w:t>2</w:t>
      </w:r>
      <w:r w:rsidRPr="00F5089F">
        <w:t>O emissions between treatments (P&lt;0.05)</w:t>
      </w:r>
      <w:r w:rsidR="00A9383B">
        <w:t xml:space="preserve"> (Figure 2)</w:t>
      </w:r>
      <w:r w:rsidRPr="00F5089F">
        <w:t xml:space="preserve">. </w:t>
      </w:r>
      <w:r w:rsidR="005D6B80">
        <w:t xml:space="preserve">Average daily emissions of </w:t>
      </w:r>
      <w:r w:rsidR="005D6B80" w:rsidRPr="00F5089F">
        <w:t>N</w:t>
      </w:r>
      <w:r w:rsidR="005D6B80" w:rsidRPr="00456992">
        <w:rPr>
          <w:vertAlign w:val="subscript"/>
        </w:rPr>
        <w:t>2</w:t>
      </w:r>
      <w:r w:rsidR="005D6B80" w:rsidRPr="00F5089F">
        <w:t xml:space="preserve">O -N </w:t>
      </w:r>
      <w:r w:rsidRPr="00F5089F">
        <w:t>were in the order: control (</w:t>
      </w:r>
      <w:r w:rsidR="005D6B80">
        <w:t>0.32 g ha</w:t>
      </w:r>
      <w:r w:rsidR="005D6B80" w:rsidRPr="005D6B80">
        <w:rPr>
          <w:vertAlign w:val="superscript"/>
        </w:rPr>
        <w:t>-1</w:t>
      </w:r>
      <w:r w:rsidR="00B5582F">
        <w:t xml:space="preserve">), ENTEC® </w:t>
      </w:r>
      <w:r w:rsidR="00E92F0F">
        <w:t>urea</w:t>
      </w:r>
      <w:r w:rsidRPr="00F5089F">
        <w:t xml:space="preserve"> (</w:t>
      </w:r>
      <w:r w:rsidR="005D6B80">
        <w:t>0.70 g ha</w:t>
      </w:r>
      <w:r w:rsidR="005D6B80" w:rsidRPr="005D6B80">
        <w:rPr>
          <w:vertAlign w:val="superscript"/>
        </w:rPr>
        <w:t>-1</w:t>
      </w:r>
      <w:r w:rsidR="00B5582F">
        <w:t xml:space="preserve">), and </w:t>
      </w:r>
      <w:r w:rsidR="00E92F0F">
        <w:t>urea</w:t>
      </w:r>
      <w:r w:rsidRPr="00F5089F">
        <w:t xml:space="preserve"> (</w:t>
      </w:r>
      <w:r w:rsidR="005D6B80">
        <w:t>1.91 g ha</w:t>
      </w:r>
      <w:r w:rsidR="005D6B80" w:rsidRPr="005D6B80">
        <w:rPr>
          <w:vertAlign w:val="superscript"/>
        </w:rPr>
        <w:t>-1</w:t>
      </w:r>
      <w:r w:rsidR="00A9383B">
        <w:t xml:space="preserve">). </w:t>
      </w:r>
      <w:r w:rsidR="005D6B80">
        <w:t>Nitrous oxide</w:t>
      </w:r>
      <w:r w:rsidRPr="00F5089F">
        <w:t xml:space="preserve"> emissions from </w:t>
      </w:r>
      <w:r w:rsidR="00760174">
        <w:t>urea</w:t>
      </w:r>
      <w:r w:rsidRPr="00F5089F">
        <w:t>-treated soil equated to about 0.</w:t>
      </w:r>
      <w:r w:rsidR="00125536">
        <w:t>0</w:t>
      </w:r>
      <w:r w:rsidRPr="00F5089F">
        <w:t>2% of total N applied as fertiliser</w:t>
      </w:r>
      <w:r w:rsidR="00125536">
        <w:t>.</w:t>
      </w:r>
      <w:r w:rsidRPr="00F5089F">
        <w:t xml:space="preserve"> </w:t>
      </w:r>
      <w:r w:rsidR="00DF7E31">
        <w:t>T</w:t>
      </w:r>
      <w:r w:rsidRPr="00F5089F">
        <w:t xml:space="preserve">he above results were </w:t>
      </w:r>
      <w:r w:rsidR="00125536">
        <w:t>consistent</w:t>
      </w:r>
      <w:r w:rsidRPr="00F5089F">
        <w:t xml:space="preserve"> with data reported in the literature (e.g., Snyder et al. 2009; Chen et al. </w:t>
      </w:r>
      <w:r w:rsidRPr="00F5089F">
        <w:lastRenderedPageBreak/>
        <w:t>2008</w:t>
      </w:r>
      <w:r w:rsidR="0039320C">
        <w:t>a</w:t>
      </w:r>
      <w:r w:rsidRPr="00F5089F">
        <w:t xml:space="preserve">). </w:t>
      </w:r>
      <w:r w:rsidR="00DF7E31">
        <w:t>Despite the higher than typical rates of N applied, emissions from b</w:t>
      </w:r>
      <w:r w:rsidRPr="00F5089F">
        <w:t xml:space="preserve">oth </w:t>
      </w:r>
      <w:r w:rsidR="00760174">
        <w:t>urea</w:t>
      </w:r>
      <w:r w:rsidRPr="00F5089F">
        <w:t xml:space="preserve"> and ENTEC® </w:t>
      </w:r>
      <w:r w:rsidR="00E92F0F">
        <w:t>urea</w:t>
      </w:r>
      <w:r w:rsidRPr="00F5089F">
        <w:t xml:space="preserve"> fertilisers in this investigation </w:t>
      </w:r>
      <w:r w:rsidR="00DF7E31">
        <w:t xml:space="preserve">were well </w:t>
      </w:r>
      <w:r w:rsidR="00125536">
        <w:t>below</w:t>
      </w:r>
      <w:r w:rsidRPr="00F5089F">
        <w:t xml:space="preserve"> the national guideline of approximately 1.25% emission per unit </w:t>
      </w:r>
      <w:r w:rsidR="00CB0707">
        <w:t xml:space="preserve">of N </w:t>
      </w:r>
      <w:r w:rsidRPr="00F5089F">
        <w:t xml:space="preserve">applied. </w:t>
      </w:r>
    </w:p>
    <w:p w:rsidR="008634DF" w:rsidRDefault="008634DF" w:rsidP="00F5089F"/>
    <w:p w:rsidR="001610E1" w:rsidRPr="00F5089F" w:rsidRDefault="00760174" w:rsidP="00F5089F">
      <w:r>
        <w:t>Urea</w:t>
      </w:r>
      <w:r w:rsidR="00F5089F" w:rsidRPr="00F5089F">
        <w:t xml:space="preserve"> produced </w:t>
      </w:r>
      <w:r w:rsidR="006D10E4">
        <w:t xml:space="preserve">similar average fluxes of </w:t>
      </w:r>
      <w:r w:rsidR="00F5089F" w:rsidRPr="00F5089F">
        <w:t>CO</w:t>
      </w:r>
      <w:r w:rsidR="00F5089F" w:rsidRPr="00F5089F">
        <w:rPr>
          <w:vertAlign w:val="subscript"/>
        </w:rPr>
        <w:t>2</w:t>
      </w:r>
      <w:r w:rsidR="00F5089F" w:rsidRPr="00F5089F">
        <w:t xml:space="preserve"> </w:t>
      </w:r>
      <w:r w:rsidR="006D10E4">
        <w:t xml:space="preserve">per sample time </w:t>
      </w:r>
      <w:r w:rsidR="00F5089F" w:rsidRPr="00F5089F">
        <w:t>(</w:t>
      </w:r>
      <w:r w:rsidR="006D10E4">
        <w:t>168</w:t>
      </w:r>
      <w:r w:rsidR="00F5089F" w:rsidRPr="00F5089F">
        <w:t xml:space="preserve"> </w:t>
      </w:r>
      <w:r w:rsidR="00F5089F" w:rsidRPr="00F5089F">
        <w:rPr>
          <w:lang w:val="el-GR"/>
        </w:rPr>
        <w:t>μ</w:t>
      </w:r>
      <w:r w:rsidR="00F5089F" w:rsidRPr="00F5089F">
        <w:t>g CO</w:t>
      </w:r>
      <w:r w:rsidR="00F5089F" w:rsidRPr="00F5089F">
        <w:rPr>
          <w:vertAlign w:val="subscript"/>
        </w:rPr>
        <w:t>2</w:t>
      </w:r>
      <w:r w:rsidR="00F5089F" w:rsidRPr="00F5089F">
        <w:t>-C m</w:t>
      </w:r>
      <w:r w:rsidR="00F5089F" w:rsidRPr="00F5089F">
        <w:rPr>
          <w:vertAlign w:val="superscript"/>
        </w:rPr>
        <w:t>-2</w:t>
      </w:r>
      <w:r w:rsidR="00F5089F" w:rsidRPr="00F5089F">
        <w:t xml:space="preserve">) </w:t>
      </w:r>
      <w:r w:rsidR="004A5C1D">
        <w:t>compared with</w:t>
      </w:r>
      <w:r w:rsidR="00823F7A">
        <w:t xml:space="preserve"> ENTEC® </w:t>
      </w:r>
      <w:r w:rsidR="00E92F0F">
        <w:t>urea</w:t>
      </w:r>
      <w:r w:rsidR="00F5089F" w:rsidRPr="00F5089F">
        <w:t xml:space="preserve"> (</w:t>
      </w:r>
      <w:r w:rsidR="006D10E4">
        <w:t>586</w:t>
      </w:r>
      <w:r w:rsidR="00F5089F" w:rsidRPr="00F5089F">
        <w:t xml:space="preserve"> </w:t>
      </w:r>
      <w:r w:rsidR="008E3D20" w:rsidRPr="00F5089F">
        <w:rPr>
          <w:lang w:val="el-GR"/>
        </w:rPr>
        <w:t>μ</w:t>
      </w:r>
      <w:r w:rsidR="008E3D20" w:rsidRPr="00F5089F">
        <w:t>g CO</w:t>
      </w:r>
      <w:r w:rsidR="008E3D20" w:rsidRPr="00F5089F">
        <w:rPr>
          <w:vertAlign w:val="subscript"/>
        </w:rPr>
        <w:t>2</w:t>
      </w:r>
      <w:r w:rsidR="008E3D20" w:rsidRPr="00F5089F">
        <w:t>-C m</w:t>
      </w:r>
      <w:r w:rsidR="008E3D20" w:rsidRPr="00F5089F">
        <w:rPr>
          <w:vertAlign w:val="superscript"/>
        </w:rPr>
        <w:t>-2</w:t>
      </w:r>
      <w:r w:rsidR="000577C0">
        <w:t>)</w:t>
      </w:r>
      <w:r w:rsidR="00F5089F" w:rsidRPr="00F5089F">
        <w:t xml:space="preserve"> over the 60-day period</w:t>
      </w:r>
      <w:r w:rsidR="000577C0">
        <w:t xml:space="preserve"> </w:t>
      </w:r>
      <w:r w:rsidR="008634DF">
        <w:t>(</w:t>
      </w:r>
      <w:r w:rsidR="006D10E4" w:rsidRPr="006D10E4">
        <w:t>P&gt;</w:t>
      </w:r>
      <w:r w:rsidR="008634DF" w:rsidRPr="006D10E4">
        <w:t>0.</w:t>
      </w:r>
      <w:r w:rsidR="008634DF" w:rsidRPr="006405AF">
        <w:t>05</w:t>
      </w:r>
      <w:r w:rsidR="001718EE" w:rsidRPr="006405AF">
        <w:t>). The</w:t>
      </w:r>
      <w:r w:rsidR="006405AF" w:rsidRPr="006405AF">
        <w:t xml:space="preserve">se </w:t>
      </w:r>
      <w:r w:rsidR="001718EE" w:rsidRPr="006405AF">
        <w:t>emissions</w:t>
      </w:r>
      <w:r w:rsidR="006405AF">
        <w:t xml:space="preserve">, which extrapolated to </w:t>
      </w:r>
      <w:r w:rsidR="008E13DE">
        <w:t>40-141</w:t>
      </w:r>
      <w:r w:rsidR="006405AF">
        <w:t xml:space="preserve"> g ha</w:t>
      </w:r>
      <w:r w:rsidR="006405AF" w:rsidRPr="00CB0707">
        <w:rPr>
          <w:vertAlign w:val="superscript"/>
        </w:rPr>
        <w:t>-1</w:t>
      </w:r>
      <w:r w:rsidR="006405AF">
        <w:t xml:space="preserve"> d</w:t>
      </w:r>
      <w:r w:rsidR="006405AF" w:rsidRPr="00CB0707">
        <w:rPr>
          <w:vertAlign w:val="superscript"/>
        </w:rPr>
        <w:t>-1</w:t>
      </w:r>
      <w:r w:rsidR="006405AF">
        <w:t xml:space="preserve"> </w:t>
      </w:r>
      <w:r w:rsidR="001718EE" w:rsidRPr="006405AF">
        <w:t xml:space="preserve">were low compared </w:t>
      </w:r>
      <w:r w:rsidR="001718EE">
        <w:t>with</w:t>
      </w:r>
      <w:r w:rsidR="006405AF">
        <w:t xml:space="preserve"> daily emissions measured from clayey loam field plots of cereal grains</w:t>
      </w:r>
      <w:r w:rsidR="001718EE">
        <w:t xml:space="preserve"> </w:t>
      </w:r>
      <w:r w:rsidR="006405AF">
        <w:t>in a cooler environment (Weiske et al. 2001)</w:t>
      </w:r>
      <w:r w:rsidR="001718EE">
        <w:t xml:space="preserve">.  </w:t>
      </w:r>
      <w:r w:rsidR="00F5089F" w:rsidRPr="00F5089F">
        <w:t>The unfertilised control soil showed a net absorption of CO</w:t>
      </w:r>
      <w:r w:rsidR="00F5089F" w:rsidRPr="00F5089F">
        <w:rPr>
          <w:vertAlign w:val="subscript"/>
        </w:rPr>
        <w:t>2</w:t>
      </w:r>
      <w:r w:rsidR="004A5C1D">
        <w:rPr>
          <w:vertAlign w:val="subscript"/>
        </w:rPr>
        <w:t xml:space="preserve"> </w:t>
      </w:r>
      <w:r w:rsidR="004A5C1D">
        <w:t>with</w:t>
      </w:r>
      <w:r w:rsidR="00F5089F" w:rsidRPr="00F5089F">
        <w:t xml:space="preserve"> </w:t>
      </w:r>
      <w:r w:rsidR="00531C8E">
        <w:t xml:space="preserve">an </w:t>
      </w:r>
      <w:r w:rsidR="006D10E4">
        <w:t xml:space="preserve">average </w:t>
      </w:r>
      <w:r w:rsidR="00531C8E">
        <w:t>daily</w:t>
      </w:r>
      <w:r w:rsidR="00F5089F" w:rsidRPr="00F5089F">
        <w:t xml:space="preserve"> flux </w:t>
      </w:r>
      <w:r w:rsidR="004A5C1D">
        <w:t>of</w:t>
      </w:r>
      <w:r w:rsidR="00F5089F" w:rsidRPr="00F5089F">
        <w:t xml:space="preserve"> </w:t>
      </w:r>
      <w:r w:rsidR="006D10E4">
        <w:t>-</w:t>
      </w:r>
      <w:r w:rsidR="00531C8E">
        <w:t>160</w:t>
      </w:r>
      <w:r w:rsidR="00F5089F" w:rsidRPr="00F5089F">
        <w:t xml:space="preserve"> </w:t>
      </w:r>
      <w:r w:rsidR="00531C8E" w:rsidRPr="00531C8E">
        <w:rPr>
          <w:lang w:val="el-GR"/>
        </w:rPr>
        <w:t>g ha</w:t>
      </w:r>
      <w:r w:rsidR="00531C8E" w:rsidRPr="00531C8E">
        <w:rPr>
          <w:vertAlign w:val="superscript"/>
          <w:lang w:val="el-GR"/>
        </w:rPr>
        <w:t>-1</w:t>
      </w:r>
      <w:r w:rsidR="00113B6D">
        <w:rPr>
          <w:lang w:val="el-GR"/>
        </w:rPr>
        <w:t xml:space="preserve"> </w:t>
      </w:r>
      <w:r w:rsidR="006E7F50" w:rsidRPr="00F5089F">
        <w:t>CO</w:t>
      </w:r>
      <w:r w:rsidR="006E7F50" w:rsidRPr="00F5089F">
        <w:rPr>
          <w:vertAlign w:val="subscript"/>
        </w:rPr>
        <w:t>2</w:t>
      </w:r>
      <w:r w:rsidR="006E7F50" w:rsidRPr="00F5089F">
        <w:t>-C</w:t>
      </w:r>
      <w:r w:rsidR="006D10E4">
        <w:t>.</w:t>
      </w:r>
      <w:r w:rsidR="00F5089F" w:rsidRPr="00F5089F">
        <w:t xml:space="preserve">  </w:t>
      </w:r>
      <w:r w:rsidR="008634DF">
        <w:t>There were</w:t>
      </w:r>
      <w:r w:rsidR="00F5089F" w:rsidRPr="00F5089F">
        <w:t xml:space="preserve"> no significant </w:t>
      </w:r>
      <w:r w:rsidR="004A5C1D">
        <w:t xml:space="preserve">differences in </w:t>
      </w:r>
      <w:r w:rsidR="00F5089F" w:rsidRPr="00F5089F">
        <w:t>CH</w:t>
      </w:r>
      <w:r w:rsidR="00F5089F" w:rsidRPr="00F5089F">
        <w:rPr>
          <w:vertAlign w:val="subscript"/>
        </w:rPr>
        <w:t>4</w:t>
      </w:r>
      <w:r w:rsidR="00F5089F" w:rsidRPr="00F5089F">
        <w:t xml:space="preserve"> emissions between treatments. </w:t>
      </w:r>
      <w:r w:rsidR="00B32987">
        <w:t>Average daily</w:t>
      </w:r>
      <w:r w:rsidR="00F5089F" w:rsidRPr="00F5089F">
        <w:t xml:space="preserve"> CH</w:t>
      </w:r>
      <w:r w:rsidR="00F5089F" w:rsidRPr="00F5089F">
        <w:rPr>
          <w:vertAlign w:val="subscript"/>
        </w:rPr>
        <w:t xml:space="preserve">4 </w:t>
      </w:r>
      <w:r w:rsidR="00F5089F" w:rsidRPr="00F5089F">
        <w:t xml:space="preserve">emissions were </w:t>
      </w:r>
      <w:r w:rsidR="00B32987">
        <w:t>0.02</w:t>
      </w:r>
      <w:r w:rsidR="00F5089F" w:rsidRPr="00F5089F">
        <w:t xml:space="preserve">, </w:t>
      </w:r>
      <w:r w:rsidR="00B32987">
        <w:t>0.04</w:t>
      </w:r>
      <w:r w:rsidR="00F5089F" w:rsidRPr="00F5089F">
        <w:t xml:space="preserve">, and </w:t>
      </w:r>
      <w:r w:rsidR="00B32987">
        <w:t xml:space="preserve">0.11 </w:t>
      </w:r>
      <w:r w:rsidR="00B32987" w:rsidRPr="00B32987">
        <w:t>g ha</w:t>
      </w:r>
      <w:r w:rsidR="00B32987" w:rsidRPr="00B32987">
        <w:rPr>
          <w:vertAlign w:val="superscript"/>
        </w:rPr>
        <w:t>-1</w:t>
      </w:r>
      <w:r w:rsidR="00B32987" w:rsidRPr="00B32987">
        <w:t xml:space="preserve"> </w:t>
      </w:r>
      <w:r w:rsidR="00F5089F" w:rsidRPr="00F5089F">
        <w:t xml:space="preserve">C for </w:t>
      </w:r>
      <w:r w:rsidR="004A5C1D">
        <w:t xml:space="preserve">the </w:t>
      </w:r>
      <w:r w:rsidR="00F5089F" w:rsidRPr="00F5089F">
        <w:t xml:space="preserve">control, </w:t>
      </w:r>
      <w:r w:rsidR="00E92F0F">
        <w:t>urea</w:t>
      </w:r>
      <w:r w:rsidR="00B5582F">
        <w:t xml:space="preserve">, and ENTEC® </w:t>
      </w:r>
      <w:r w:rsidR="00E92F0F">
        <w:t>urea</w:t>
      </w:r>
      <w:r w:rsidR="004A5C1D">
        <w:t xml:space="preserve"> treatments</w:t>
      </w:r>
      <w:r w:rsidR="00690D1D">
        <w:t>, respectively. These</w:t>
      </w:r>
      <w:r w:rsidR="00F5089F" w:rsidRPr="00F5089F">
        <w:t xml:space="preserve"> level</w:t>
      </w:r>
      <w:r w:rsidR="00690D1D">
        <w:t>s</w:t>
      </w:r>
      <w:r w:rsidR="00F5089F" w:rsidRPr="00F5089F">
        <w:t xml:space="preserve"> of </w:t>
      </w:r>
      <w:r w:rsidR="00560021">
        <w:t>methane</w:t>
      </w:r>
      <w:r w:rsidR="00560021" w:rsidRPr="00F5089F">
        <w:t xml:space="preserve"> </w:t>
      </w:r>
      <w:r w:rsidR="00F5089F" w:rsidRPr="00F5089F">
        <w:t>emissions are considered to be low and are explained by the fact that the e</w:t>
      </w:r>
      <w:r w:rsidR="004A5C1D">
        <w:t xml:space="preserve">xperiment was conducted under </w:t>
      </w:r>
      <w:r w:rsidR="00F5089F" w:rsidRPr="00F5089F">
        <w:t>aerobic conditions (Serrano-Silva et al. 2014).</w:t>
      </w:r>
    </w:p>
    <w:p w:rsidR="00F5089F" w:rsidRPr="00F5089F" w:rsidRDefault="004D5409" w:rsidP="00F5089F">
      <w:r>
        <w:rPr>
          <w:noProof/>
          <w:lang w:eastAsia="en-AU"/>
        </w:rPr>
        <w:drawing>
          <wp:inline distT="0" distB="0" distL="0" distR="0" wp14:anchorId="52C157C3">
            <wp:extent cx="289560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89F" w:rsidRPr="00F5089F" w:rsidRDefault="00633577" w:rsidP="00F5089F">
      <w:r>
        <w:rPr>
          <w:noProof/>
          <w:lang w:eastAsia="en-AU"/>
        </w:rPr>
        <w:drawing>
          <wp:inline distT="0" distB="0" distL="0" distR="0" wp14:anchorId="2DEF01B3">
            <wp:extent cx="3035935" cy="1981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89F" w:rsidRPr="00F5089F" w:rsidRDefault="00F5089F" w:rsidP="00F5089F">
      <w:pPr>
        <w:rPr>
          <w:b/>
          <w:bCs/>
        </w:rPr>
      </w:pPr>
      <w:bookmarkStart w:id="1" w:name="_Ref433467279"/>
      <w:bookmarkStart w:id="2" w:name="_Toc433859237"/>
    </w:p>
    <w:p w:rsidR="00F5089F" w:rsidRDefault="00F5089F" w:rsidP="00F5089F">
      <w:pPr>
        <w:rPr>
          <w:b/>
          <w:bCs/>
          <w:sz w:val="20"/>
        </w:rPr>
      </w:pPr>
      <w:r w:rsidRPr="00B5582F">
        <w:rPr>
          <w:b/>
          <w:bCs/>
          <w:sz w:val="20"/>
        </w:rPr>
        <w:t>Figure 1</w:t>
      </w:r>
      <w:bookmarkEnd w:id="1"/>
      <w:r w:rsidRPr="00B5582F">
        <w:rPr>
          <w:b/>
          <w:bCs/>
          <w:sz w:val="20"/>
        </w:rPr>
        <w:t xml:space="preserve">: </w:t>
      </w:r>
      <w:r w:rsidR="009A438E">
        <w:rPr>
          <w:b/>
          <w:bCs/>
          <w:sz w:val="20"/>
        </w:rPr>
        <w:t>S</w:t>
      </w:r>
      <w:r w:rsidRPr="00B5582F">
        <w:rPr>
          <w:b/>
          <w:bCs/>
          <w:sz w:val="20"/>
        </w:rPr>
        <w:t xml:space="preserve">oil ammonium </w:t>
      </w:r>
      <w:r w:rsidR="009A438E">
        <w:rPr>
          <w:b/>
          <w:bCs/>
          <w:sz w:val="20"/>
        </w:rPr>
        <w:t xml:space="preserve">(a) </w:t>
      </w:r>
      <w:r w:rsidRPr="00B5582F">
        <w:rPr>
          <w:b/>
          <w:bCs/>
          <w:sz w:val="20"/>
        </w:rPr>
        <w:t>and nitrate</w:t>
      </w:r>
      <w:r w:rsidR="009A438E">
        <w:rPr>
          <w:b/>
          <w:bCs/>
          <w:sz w:val="20"/>
        </w:rPr>
        <w:t xml:space="preserve"> (b)</w:t>
      </w:r>
      <w:r w:rsidRPr="00B5582F">
        <w:rPr>
          <w:b/>
          <w:bCs/>
          <w:sz w:val="20"/>
        </w:rPr>
        <w:t xml:space="preserve"> concentration of control, </w:t>
      </w:r>
      <w:r w:rsidR="00E92F0F">
        <w:rPr>
          <w:b/>
          <w:bCs/>
          <w:sz w:val="20"/>
        </w:rPr>
        <w:t>urea</w:t>
      </w:r>
      <w:r w:rsidRPr="00B5582F">
        <w:rPr>
          <w:b/>
          <w:bCs/>
          <w:sz w:val="20"/>
        </w:rPr>
        <w:t xml:space="preserve"> and ENTEC® </w:t>
      </w:r>
      <w:r w:rsidR="00E92F0F">
        <w:rPr>
          <w:b/>
          <w:bCs/>
          <w:sz w:val="20"/>
        </w:rPr>
        <w:t>urea</w:t>
      </w:r>
      <w:r w:rsidRPr="00B5582F">
        <w:rPr>
          <w:b/>
          <w:bCs/>
          <w:sz w:val="20"/>
        </w:rPr>
        <w:t xml:space="preserve"> treatments over 60 day incubation period</w:t>
      </w:r>
      <w:bookmarkEnd w:id="2"/>
      <w:r w:rsidRPr="00B5582F">
        <w:rPr>
          <w:b/>
          <w:bCs/>
          <w:sz w:val="20"/>
        </w:rPr>
        <w:t xml:space="preserve">. Errors bars indicate </w:t>
      </w:r>
      <w:r w:rsidR="001C548B">
        <w:rPr>
          <w:b/>
          <w:bCs/>
          <w:sz w:val="20"/>
        </w:rPr>
        <w:t>± 1 S.E.M. LSDs</w:t>
      </w:r>
      <w:r w:rsidRPr="00B5582F">
        <w:rPr>
          <w:b/>
          <w:bCs/>
          <w:sz w:val="20"/>
        </w:rPr>
        <w:t xml:space="preserve"> at 5% confidence interval </w:t>
      </w:r>
      <w:r w:rsidR="0039320C">
        <w:rPr>
          <w:b/>
          <w:bCs/>
          <w:sz w:val="20"/>
        </w:rPr>
        <w:t xml:space="preserve">and </w:t>
      </w:r>
      <w:r w:rsidR="001C548B">
        <w:rPr>
          <w:b/>
          <w:bCs/>
          <w:sz w:val="20"/>
        </w:rPr>
        <w:t xml:space="preserve">are shown for the </w:t>
      </w:r>
      <w:r w:rsidRPr="00B5582F">
        <w:rPr>
          <w:b/>
          <w:bCs/>
          <w:sz w:val="20"/>
        </w:rPr>
        <w:t xml:space="preserve">control vs </w:t>
      </w:r>
      <w:r w:rsidR="00E92F0F">
        <w:rPr>
          <w:b/>
          <w:bCs/>
          <w:sz w:val="20"/>
        </w:rPr>
        <w:t>urea</w:t>
      </w:r>
      <w:r w:rsidRPr="00B5582F">
        <w:rPr>
          <w:b/>
          <w:bCs/>
          <w:sz w:val="20"/>
        </w:rPr>
        <w:t xml:space="preserve"> and ENTEC® </w:t>
      </w:r>
      <w:r w:rsidR="00E92F0F">
        <w:rPr>
          <w:b/>
          <w:bCs/>
          <w:sz w:val="20"/>
        </w:rPr>
        <w:t>urea</w:t>
      </w:r>
      <w:r w:rsidRPr="00B5582F">
        <w:rPr>
          <w:b/>
          <w:bCs/>
          <w:sz w:val="20"/>
        </w:rPr>
        <w:t xml:space="preserve">, as well as </w:t>
      </w:r>
      <w:r w:rsidR="001C548B">
        <w:rPr>
          <w:b/>
          <w:bCs/>
          <w:sz w:val="20"/>
        </w:rPr>
        <w:t>the</w:t>
      </w:r>
      <w:r w:rsidRPr="00B5582F">
        <w:rPr>
          <w:b/>
          <w:bCs/>
          <w:sz w:val="20"/>
        </w:rPr>
        <w:t xml:space="preserve"> </w:t>
      </w:r>
      <w:r w:rsidR="00E92F0F">
        <w:rPr>
          <w:b/>
          <w:bCs/>
          <w:sz w:val="20"/>
        </w:rPr>
        <w:t>urea</w:t>
      </w:r>
      <w:r w:rsidRPr="00B5582F">
        <w:rPr>
          <w:b/>
          <w:bCs/>
          <w:sz w:val="20"/>
        </w:rPr>
        <w:t xml:space="preserve"> </w:t>
      </w:r>
      <w:r w:rsidR="001C548B">
        <w:rPr>
          <w:b/>
          <w:bCs/>
          <w:sz w:val="20"/>
        </w:rPr>
        <w:t>vs</w:t>
      </w:r>
      <w:r w:rsidRPr="00B5582F">
        <w:rPr>
          <w:b/>
          <w:bCs/>
          <w:sz w:val="20"/>
        </w:rPr>
        <w:t xml:space="preserve"> ENTEC® </w:t>
      </w:r>
      <w:r w:rsidR="00E92F0F">
        <w:rPr>
          <w:b/>
          <w:bCs/>
          <w:sz w:val="20"/>
        </w:rPr>
        <w:t>urea</w:t>
      </w:r>
      <w:r w:rsidR="001C548B">
        <w:rPr>
          <w:b/>
          <w:bCs/>
          <w:sz w:val="20"/>
        </w:rPr>
        <w:t xml:space="preserve"> comparisons.</w:t>
      </w:r>
      <w:r w:rsidRPr="00B5582F">
        <w:rPr>
          <w:b/>
          <w:bCs/>
          <w:sz w:val="20"/>
        </w:rPr>
        <w:t xml:space="preserve"> </w:t>
      </w:r>
    </w:p>
    <w:p w:rsidR="0039320C" w:rsidRPr="00B5582F" w:rsidRDefault="0039320C" w:rsidP="00F5089F">
      <w:pPr>
        <w:rPr>
          <w:bCs/>
          <w:sz w:val="20"/>
        </w:rPr>
      </w:pPr>
    </w:p>
    <w:p w:rsidR="00F5089F" w:rsidRPr="00F5089F" w:rsidRDefault="00355F07" w:rsidP="00737FC2">
      <w:pPr>
        <w:jc w:val="both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03E23321">
            <wp:extent cx="3157855" cy="21583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89F" w:rsidRPr="00A9383B" w:rsidRDefault="00A9383B" w:rsidP="00F5089F">
      <w:pPr>
        <w:rPr>
          <w:b/>
          <w:bCs/>
          <w:sz w:val="20"/>
        </w:rPr>
      </w:pPr>
      <w:r w:rsidRPr="00A9383B">
        <w:rPr>
          <w:b/>
          <w:bCs/>
          <w:sz w:val="20"/>
        </w:rPr>
        <w:t xml:space="preserve">Figure 2: Nitrous oxide emission fluxes for control, urea and ENTEC® urea treatments over </w:t>
      </w:r>
      <w:r w:rsidR="005D68D8">
        <w:rPr>
          <w:b/>
          <w:bCs/>
          <w:sz w:val="20"/>
        </w:rPr>
        <w:t xml:space="preserve">a </w:t>
      </w:r>
      <w:r w:rsidRPr="00A9383B">
        <w:rPr>
          <w:b/>
          <w:bCs/>
          <w:sz w:val="20"/>
        </w:rPr>
        <w:t>60 day incubation period. Errors bars indicate ± 1 S.E.M. LSDs at 5% confidence interval and are shown for the control vs urea and ENTEC® urea, as well as the urea vs ENTEC® urea comparisons.</w:t>
      </w:r>
    </w:p>
    <w:p w:rsidR="00D114D8" w:rsidRPr="00690D1D" w:rsidRDefault="00D114D8" w:rsidP="00690D1D"/>
    <w:p w:rsidR="00BB7D7B" w:rsidRDefault="00BB7D7B">
      <w:pPr>
        <w:pStyle w:val="Heading1"/>
      </w:pPr>
      <w:r>
        <w:t>Conclusion</w:t>
      </w:r>
    </w:p>
    <w:p w:rsidR="00F5089F" w:rsidRPr="00F5089F" w:rsidRDefault="00F5089F" w:rsidP="00F5089F">
      <w:r w:rsidRPr="00F5089F">
        <w:t xml:space="preserve">Peak </w:t>
      </w:r>
      <w:r w:rsidR="00B34A50">
        <w:t>nitrate</w:t>
      </w:r>
      <w:r w:rsidRPr="00F5089F">
        <w:t xml:space="preserve"> N supply </w:t>
      </w:r>
      <w:r w:rsidR="00B34A50">
        <w:t>after</w:t>
      </w:r>
      <w:r w:rsidRPr="00F5089F">
        <w:t xml:space="preserve"> </w:t>
      </w:r>
      <w:r w:rsidR="00E92F0F">
        <w:t>urea</w:t>
      </w:r>
      <w:r w:rsidRPr="00F5089F">
        <w:t xml:space="preserve"> application occurred 14 d</w:t>
      </w:r>
      <w:r w:rsidR="00B34A50">
        <w:t xml:space="preserve">ays after application whereas nitrate supply from </w:t>
      </w:r>
      <w:r w:rsidRPr="00F5089F">
        <w:t xml:space="preserve">ENTEC® </w:t>
      </w:r>
      <w:r w:rsidR="00E92F0F">
        <w:t>urea</w:t>
      </w:r>
      <w:r w:rsidRPr="00F5089F">
        <w:t xml:space="preserve"> </w:t>
      </w:r>
      <w:r w:rsidR="00B34A50">
        <w:t xml:space="preserve">increased throughout the 60 day incubation. </w:t>
      </w:r>
      <w:r w:rsidRPr="00F5089F">
        <w:t xml:space="preserve">Nitrous oxide emissions of </w:t>
      </w:r>
      <w:r w:rsidR="00E92F0F">
        <w:t>urea</w:t>
      </w:r>
      <w:r w:rsidRPr="00F5089F">
        <w:t xml:space="preserve"> fertiliser also exceeded the emissions of ENTEC® </w:t>
      </w:r>
      <w:r w:rsidR="00E92F0F">
        <w:t>urea</w:t>
      </w:r>
      <w:r w:rsidRPr="00F5089F">
        <w:t xml:space="preserve"> by 73% over </w:t>
      </w:r>
      <w:r w:rsidR="007F77D7">
        <w:t>the</w:t>
      </w:r>
      <w:r w:rsidRPr="00F5089F">
        <w:t xml:space="preserve"> 60 day aerobic incubation period. Methane </w:t>
      </w:r>
      <w:r w:rsidR="005D68D8">
        <w:t>and CO</w:t>
      </w:r>
      <w:r w:rsidR="005D68D8" w:rsidRPr="009F4200">
        <w:rPr>
          <w:vertAlign w:val="subscript"/>
        </w:rPr>
        <w:t>2</w:t>
      </w:r>
      <w:r w:rsidR="005D68D8" w:rsidRPr="00F5089F">
        <w:t xml:space="preserve"> emissions </w:t>
      </w:r>
      <w:r w:rsidRPr="00F5089F">
        <w:t xml:space="preserve">were </w:t>
      </w:r>
      <w:r w:rsidR="007E3C87">
        <w:t>low</w:t>
      </w:r>
      <w:r w:rsidR="005D68D8">
        <w:t xml:space="preserve"> from all treatments.</w:t>
      </w:r>
      <w:r w:rsidRPr="00F5089F">
        <w:t xml:space="preserve"> The results suggest that </w:t>
      </w:r>
      <w:r w:rsidR="00B34A50">
        <w:t xml:space="preserve">the enhanced efficiency fertiliser, </w:t>
      </w:r>
      <w:r w:rsidRPr="00F5089F">
        <w:t xml:space="preserve">ENTEC® </w:t>
      </w:r>
      <w:r w:rsidR="00E92F0F">
        <w:t>urea</w:t>
      </w:r>
      <w:r w:rsidR="00B34A50">
        <w:t>,</w:t>
      </w:r>
      <w:r w:rsidRPr="00F5089F">
        <w:t xml:space="preserve"> may </w:t>
      </w:r>
      <w:r w:rsidR="00B34A50">
        <w:t>provide</w:t>
      </w:r>
      <w:r w:rsidR="007E3C87">
        <w:t xml:space="preserve"> better synchrony of N supply and cotton crop</w:t>
      </w:r>
      <w:r w:rsidR="00B34A50">
        <w:t xml:space="preserve"> N</w:t>
      </w:r>
      <w:r w:rsidR="007E3C87">
        <w:t xml:space="preserve"> demand if applied in the field at or before cotton planting, as well as </w:t>
      </w:r>
      <w:r w:rsidRPr="00F5089F">
        <w:t>reduc</w:t>
      </w:r>
      <w:r w:rsidR="005D68D8">
        <w:t>e impacts on</w:t>
      </w:r>
      <w:r w:rsidRPr="00F5089F">
        <w:t xml:space="preserve"> the environment from </w:t>
      </w:r>
      <w:r w:rsidR="009F4200">
        <w:t>GHG</w:t>
      </w:r>
      <w:r w:rsidRPr="00F5089F">
        <w:t xml:space="preserve"> emission</w:t>
      </w:r>
      <w:r w:rsidR="007E3C87">
        <w:t>.</w:t>
      </w:r>
      <w:r w:rsidRPr="00F5089F">
        <w:t xml:space="preserve"> </w:t>
      </w:r>
      <w:r w:rsidR="007E3C87">
        <w:t>I</w:t>
      </w:r>
      <w:r w:rsidRPr="00F5089F">
        <w:t xml:space="preserve">nvestigation is required into </w:t>
      </w:r>
      <w:r w:rsidR="007E3C87">
        <w:t xml:space="preserve">the </w:t>
      </w:r>
      <w:r w:rsidRPr="00F5089F">
        <w:t xml:space="preserve">cost-benefit ratios of using ENTEC® </w:t>
      </w:r>
      <w:r w:rsidR="00E92F0F">
        <w:t>urea</w:t>
      </w:r>
      <w:r w:rsidRPr="00F5089F">
        <w:t xml:space="preserve"> as an alternative </w:t>
      </w:r>
      <w:r w:rsidR="009F4200">
        <w:t>N</w:t>
      </w:r>
      <w:r w:rsidRPr="00F5089F">
        <w:t xml:space="preserve"> fertiliser to </w:t>
      </w:r>
      <w:r w:rsidR="00E92F0F">
        <w:t>urea</w:t>
      </w:r>
      <w:r w:rsidRPr="00F5089F">
        <w:t xml:space="preserve"> and the effect o</w:t>
      </w:r>
      <w:r w:rsidR="007E3C87">
        <w:t>n</w:t>
      </w:r>
      <w:r w:rsidRPr="00F5089F">
        <w:t xml:space="preserve"> </w:t>
      </w:r>
      <w:r w:rsidR="009F4200">
        <w:t>CO</w:t>
      </w:r>
      <w:r w:rsidR="009F4200" w:rsidRPr="009F4200">
        <w:rPr>
          <w:vertAlign w:val="subscript"/>
        </w:rPr>
        <w:t>2</w:t>
      </w:r>
      <w:r w:rsidR="001D5DDE">
        <w:t xml:space="preserve"> emissions</w:t>
      </w:r>
      <w:r w:rsidRPr="00F5089F">
        <w:t xml:space="preserve"> </w:t>
      </w:r>
      <w:r w:rsidR="009F4200">
        <w:t xml:space="preserve">and </w:t>
      </w:r>
      <w:r w:rsidRPr="00F5089F">
        <w:t xml:space="preserve">nitrification rates when </w:t>
      </w:r>
      <w:r w:rsidR="00E92F0F">
        <w:t>urea</w:t>
      </w:r>
      <w:r w:rsidRPr="00F5089F">
        <w:t xml:space="preserve"> and ENTEC® </w:t>
      </w:r>
      <w:r w:rsidR="00E92F0F">
        <w:t>urea</w:t>
      </w:r>
      <w:r w:rsidRPr="00F5089F">
        <w:t xml:space="preserve"> are applied</w:t>
      </w:r>
      <w:r w:rsidR="007E3C87">
        <w:t xml:space="preserve"> in the field</w:t>
      </w:r>
      <w:r w:rsidRPr="00F5089F">
        <w:t>.</w:t>
      </w:r>
    </w:p>
    <w:p w:rsidR="00BB7D7B" w:rsidRDefault="00BB7D7B"/>
    <w:p w:rsidR="00BB7D7B" w:rsidRDefault="00BB7D7B">
      <w:pPr>
        <w:pStyle w:val="Heading1"/>
      </w:pPr>
      <w:r>
        <w:t>References</w:t>
      </w:r>
    </w:p>
    <w:p w:rsidR="00EB2EB0" w:rsidRDefault="00EB2EB0" w:rsidP="00EB2EB0">
      <w:pPr>
        <w:ind w:left="720" w:hanging="720"/>
        <w:rPr>
          <w:lang w:eastAsia="en-AU"/>
        </w:rPr>
      </w:pPr>
      <w:r>
        <w:rPr>
          <w:lang w:eastAsia="en-AU"/>
        </w:rPr>
        <w:t xml:space="preserve">Antille DL, Sakrabani R, Godwin RJ (2014) Nitrogen Release Characteristics from Biosolids-Derived Organomineral Fertilizers. </w:t>
      </w:r>
      <w:r>
        <w:rPr>
          <w:i/>
          <w:iCs/>
          <w:lang w:eastAsia="en-AU"/>
        </w:rPr>
        <w:t>Communications in Soil Science and Plant Analysis</w:t>
      </w:r>
      <w:r>
        <w:rPr>
          <w:lang w:eastAsia="en-AU"/>
        </w:rPr>
        <w:t xml:space="preserve"> </w:t>
      </w:r>
      <w:r>
        <w:rPr>
          <w:b/>
          <w:bCs/>
          <w:lang w:eastAsia="en-AU"/>
        </w:rPr>
        <w:t>45</w:t>
      </w:r>
      <w:r>
        <w:rPr>
          <w:lang w:eastAsia="en-AU"/>
        </w:rPr>
        <w:t xml:space="preserve">(12), 1687-1698. </w:t>
      </w:r>
    </w:p>
    <w:p w:rsidR="00EB2EB0" w:rsidRDefault="00EB2EB0" w:rsidP="00EB2EB0">
      <w:pPr>
        <w:ind w:left="720" w:hanging="720"/>
        <w:rPr>
          <w:lang w:eastAsia="en-AU"/>
        </w:rPr>
      </w:pPr>
      <w:r>
        <w:rPr>
          <w:lang w:eastAsia="en-AU"/>
        </w:rPr>
        <w:t xml:space="preserve">Chen D, Freney JR, Rochester I, Constable GA, Mosier AR, Chalk PM (2008) Evaluation of a polyolefin coated urea (Meister) as a fertilizer for irrigated cotton. </w:t>
      </w:r>
      <w:r>
        <w:rPr>
          <w:i/>
          <w:iCs/>
          <w:lang w:eastAsia="en-AU"/>
        </w:rPr>
        <w:t>Nutrient Cycling in Agroecosystems</w:t>
      </w:r>
      <w:r>
        <w:rPr>
          <w:lang w:eastAsia="en-AU"/>
        </w:rPr>
        <w:t xml:space="preserve"> </w:t>
      </w:r>
      <w:r>
        <w:rPr>
          <w:b/>
          <w:bCs/>
          <w:lang w:eastAsia="en-AU"/>
        </w:rPr>
        <w:t>81</w:t>
      </w:r>
      <w:r>
        <w:rPr>
          <w:lang w:eastAsia="en-AU"/>
        </w:rPr>
        <w:t xml:space="preserve">(3), 245-254. </w:t>
      </w:r>
    </w:p>
    <w:p w:rsidR="00A53958" w:rsidRPr="00A53958" w:rsidRDefault="00571D1E" w:rsidP="00EB2EB0">
      <w:pPr>
        <w:ind w:left="720" w:hanging="720"/>
        <w:rPr>
          <w:lang w:val="fr-FR"/>
        </w:rPr>
      </w:pPr>
      <w:r w:rsidRPr="00571D1E">
        <w:rPr>
          <w:lang w:val="fr-FR"/>
        </w:rPr>
        <w:t xml:space="preserve">Collier SM, Ruark MD, Oates LG, Jokela WE &amp; Dell CJ </w:t>
      </w:r>
      <w:r>
        <w:rPr>
          <w:lang w:val="fr-FR"/>
        </w:rPr>
        <w:t>(</w:t>
      </w:r>
      <w:r w:rsidRPr="00571D1E">
        <w:rPr>
          <w:lang w:val="fr-FR"/>
        </w:rPr>
        <w:t>2014</w:t>
      </w:r>
      <w:r>
        <w:rPr>
          <w:lang w:val="fr-FR"/>
        </w:rPr>
        <w:t xml:space="preserve">) </w:t>
      </w:r>
      <w:r w:rsidRPr="00571D1E">
        <w:rPr>
          <w:lang w:val="fr-FR"/>
        </w:rPr>
        <w:t>Measurement of Greenhouse Gas Flux from Agricult</w:t>
      </w:r>
      <w:r>
        <w:rPr>
          <w:lang w:val="fr-FR"/>
        </w:rPr>
        <w:t>ural Soils Using Static Chambers.</w:t>
      </w:r>
      <w:r w:rsidRPr="00571D1E">
        <w:rPr>
          <w:lang w:val="fr-FR"/>
        </w:rPr>
        <w:t xml:space="preserve"> </w:t>
      </w:r>
      <w:r w:rsidRPr="00571D1E">
        <w:rPr>
          <w:i/>
          <w:lang w:val="fr-FR"/>
        </w:rPr>
        <w:t>Journal of Visualised Experiments</w:t>
      </w:r>
      <w:r>
        <w:rPr>
          <w:lang w:val="fr-FR"/>
        </w:rPr>
        <w:t xml:space="preserve"> </w:t>
      </w:r>
      <w:r w:rsidRPr="00571D1E">
        <w:rPr>
          <w:b/>
          <w:lang w:val="fr-FR"/>
        </w:rPr>
        <w:t>90</w:t>
      </w:r>
    </w:p>
    <w:p w:rsidR="001C4229" w:rsidRDefault="00571D1E" w:rsidP="00EB2EB0">
      <w:pPr>
        <w:ind w:left="720" w:hanging="720"/>
        <w:rPr>
          <w:lang w:val="fr-FR"/>
        </w:rPr>
      </w:pPr>
      <w:r>
        <w:rPr>
          <w:lang w:val="fr-FR"/>
        </w:rPr>
        <w:t>CRDC &amp; CCA (</w:t>
      </w:r>
      <w:r w:rsidR="001C4229" w:rsidRPr="001C4229">
        <w:rPr>
          <w:lang w:val="fr-FR"/>
        </w:rPr>
        <w:t>2015</w:t>
      </w:r>
      <w:r>
        <w:rPr>
          <w:lang w:val="fr-FR"/>
        </w:rPr>
        <w:t>)</w:t>
      </w:r>
      <w:r w:rsidR="001C4229" w:rsidRPr="001C4229">
        <w:rPr>
          <w:lang w:val="fr-FR"/>
        </w:rPr>
        <w:t>. Qualitative Report on the 2014–15 cotton season: A survey of consultants; Cotton Research and Development Corporation: Narrabri, Australia</w:t>
      </w:r>
      <w:r w:rsidR="001C4229">
        <w:rPr>
          <w:lang w:val="fr-FR"/>
        </w:rPr>
        <w:t>.</w:t>
      </w:r>
    </w:p>
    <w:p w:rsidR="00A53958" w:rsidRPr="00A53958" w:rsidRDefault="00A53958" w:rsidP="00EB2EB0">
      <w:pPr>
        <w:ind w:left="720" w:hanging="720"/>
      </w:pPr>
      <w:r w:rsidRPr="00A53958">
        <w:t xml:space="preserve">Griffin, T 2008, </w:t>
      </w:r>
      <w:r w:rsidRPr="00A53958">
        <w:rPr>
          <w:i/>
        </w:rPr>
        <w:t>Nitrogen Availability (Chapter 15)</w:t>
      </w:r>
      <w:r w:rsidRPr="00A53958">
        <w:t>, Nitrogen in Agriculture Systems, Schepers, JS &amp; Raun, WR (eds.), Agronomy Monograph 49</w:t>
      </w:r>
      <w:r w:rsidR="009C3B93">
        <w:t>.</w:t>
      </w:r>
    </w:p>
    <w:p w:rsidR="00A53958" w:rsidRPr="00A53958" w:rsidRDefault="00A53958" w:rsidP="00EB2EB0">
      <w:pPr>
        <w:ind w:left="720" w:hanging="720"/>
      </w:pPr>
      <w:r w:rsidRPr="00A53958">
        <w:t xml:space="preserve">Hach Company </w:t>
      </w:r>
      <w:r w:rsidR="00571D1E">
        <w:t>(</w:t>
      </w:r>
      <w:r w:rsidRPr="00A53958">
        <w:t>2013</w:t>
      </w:r>
      <w:r w:rsidR="00571D1E">
        <w:t>)</w:t>
      </w:r>
      <w:r w:rsidRPr="00A53958">
        <w:t xml:space="preserve"> </w:t>
      </w:r>
      <w:r w:rsidRPr="00A53958">
        <w:rPr>
          <w:i/>
        </w:rPr>
        <w:t>Hach DR2700 User Manual</w:t>
      </w:r>
      <w:r w:rsidR="009C3B93">
        <w:t xml:space="preserve">, 4th edn., </w:t>
      </w:r>
      <w:r w:rsidRPr="00A53958">
        <w:t>G</w:t>
      </w:r>
      <w:r w:rsidR="00670852">
        <w:t>ermany.</w:t>
      </w:r>
    </w:p>
    <w:p w:rsidR="00571D1E" w:rsidRDefault="00571D1E" w:rsidP="00EB2EB0">
      <w:pPr>
        <w:ind w:left="720" w:hanging="720"/>
        <w:rPr>
          <w:lang w:eastAsia="en-AU"/>
        </w:rPr>
      </w:pPr>
      <w:r>
        <w:rPr>
          <w:lang w:eastAsia="en-AU"/>
        </w:rPr>
        <w:t xml:space="preserve">Kliese YJ, Dalal RC, Strong WM, Menzies NW (2005) Piggery pond sludge as a nitrogen source for crops. 1. Mineral N supply estimated from laboratory incubations and field application of stockpiled and wet sludge. </w:t>
      </w:r>
      <w:r>
        <w:rPr>
          <w:i/>
          <w:iCs/>
          <w:lang w:eastAsia="en-AU"/>
        </w:rPr>
        <w:t>Australian Journal of Agricultural Research</w:t>
      </w:r>
      <w:r>
        <w:rPr>
          <w:lang w:eastAsia="en-AU"/>
        </w:rPr>
        <w:t xml:space="preserve"> </w:t>
      </w:r>
      <w:r>
        <w:rPr>
          <w:b/>
          <w:bCs/>
          <w:lang w:eastAsia="en-AU"/>
        </w:rPr>
        <w:t>56</w:t>
      </w:r>
      <w:r>
        <w:rPr>
          <w:lang w:eastAsia="en-AU"/>
        </w:rPr>
        <w:t xml:space="preserve">(3), 245-255. </w:t>
      </w:r>
    </w:p>
    <w:p w:rsidR="00A53958" w:rsidRPr="00A53958" w:rsidRDefault="00A53958" w:rsidP="00EB2EB0">
      <w:pPr>
        <w:ind w:left="720" w:hanging="720"/>
      </w:pPr>
      <w:r w:rsidRPr="00A53958">
        <w:t xml:space="preserve">Price, G (ed.) 2006, </w:t>
      </w:r>
      <w:r w:rsidRPr="00A53958">
        <w:rPr>
          <w:i/>
        </w:rPr>
        <w:t>Australian Soil Fertility Manual</w:t>
      </w:r>
      <w:r w:rsidRPr="00A53958">
        <w:t>, 3rd edn., Fertilizer Industr</w:t>
      </w:r>
      <w:r w:rsidR="00670852">
        <w:t>y Federation of Australia Inc.</w:t>
      </w:r>
      <w:r w:rsidRPr="00A53958">
        <w:t>, CSIRO Publishing, Collingwood</w:t>
      </w:r>
      <w:r w:rsidR="009C3B93">
        <w:t>.</w:t>
      </w:r>
    </w:p>
    <w:p w:rsidR="00571D1E" w:rsidRDefault="00571D1E" w:rsidP="00EB2EB0">
      <w:pPr>
        <w:ind w:left="720" w:hanging="720"/>
      </w:pPr>
      <w:r>
        <w:t xml:space="preserve">Rayment G, </w:t>
      </w:r>
      <w:r w:rsidR="00A53958" w:rsidRPr="00A53958">
        <w:t xml:space="preserve">Lyons D </w:t>
      </w:r>
      <w:r>
        <w:t>(</w:t>
      </w:r>
      <w:r w:rsidR="00A53958" w:rsidRPr="00A53958">
        <w:t>2011</w:t>
      </w:r>
      <w:r>
        <w:t>)</w:t>
      </w:r>
      <w:r w:rsidR="00A53958" w:rsidRPr="00A53958">
        <w:t xml:space="preserve"> </w:t>
      </w:r>
      <w:r w:rsidR="00A53958" w:rsidRPr="00A53958">
        <w:rPr>
          <w:i/>
        </w:rPr>
        <w:t>Soil Chemical Methods – Australasia</w:t>
      </w:r>
      <w:r w:rsidR="00A53958" w:rsidRPr="00A53958">
        <w:t>, CSIRO Pub</w:t>
      </w:r>
      <w:r>
        <w:t>lishing, Collingwood, Australia.</w:t>
      </w:r>
    </w:p>
    <w:p w:rsidR="00A53958" w:rsidRPr="00A53958" w:rsidRDefault="00A53958" w:rsidP="00EB2EB0">
      <w:pPr>
        <w:ind w:left="720" w:hanging="720"/>
      </w:pPr>
      <w:r w:rsidRPr="00A53958">
        <w:t xml:space="preserve">Roth G </w:t>
      </w:r>
      <w:r w:rsidR="00C91886">
        <w:t>(</w:t>
      </w:r>
      <w:r w:rsidRPr="00A53958">
        <w:t>2014</w:t>
      </w:r>
      <w:r w:rsidR="00C91886">
        <w:t>)</w:t>
      </w:r>
      <w:r w:rsidRPr="00A53958">
        <w:t xml:space="preserve"> </w:t>
      </w:r>
      <w:r w:rsidRPr="00A53958">
        <w:rPr>
          <w:i/>
        </w:rPr>
        <w:t>Australian Grown Cotton Sustainability Report 2014</w:t>
      </w:r>
      <w:r w:rsidRPr="00A53958">
        <w:t xml:space="preserve">, </w:t>
      </w:r>
      <w:r w:rsidR="00670852">
        <w:t>Cotton Australia, CRDC</w:t>
      </w:r>
      <w:r w:rsidRPr="00A53958">
        <w:t>, Australian Govern</w:t>
      </w:r>
      <w:r w:rsidR="009C3B93">
        <w:t>ment</w:t>
      </w:r>
      <w:r w:rsidR="00670852">
        <w:t>.</w:t>
      </w:r>
    </w:p>
    <w:p w:rsidR="00C91886" w:rsidRDefault="00C91886" w:rsidP="00EB2EB0">
      <w:pPr>
        <w:ind w:left="720" w:hanging="720"/>
        <w:rPr>
          <w:lang w:eastAsia="en-AU"/>
        </w:rPr>
      </w:pPr>
      <w:r>
        <w:rPr>
          <w:lang w:eastAsia="en-AU"/>
        </w:rPr>
        <w:t xml:space="preserve">Serrano-Silva N, Sarria-Guzman Y, Dendooven L, Luna-Guido M (2014) Methanogenesis and Methanotrophy in Soil: A Review. </w:t>
      </w:r>
      <w:r>
        <w:rPr>
          <w:i/>
          <w:iCs/>
          <w:lang w:eastAsia="en-AU"/>
        </w:rPr>
        <w:t>Pedosphere</w:t>
      </w:r>
      <w:r>
        <w:rPr>
          <w:lang w:eastAsia="en-AU"/>
        </w:rPr>
        <w:t xml:space="preserve"> </w:t>
      </w:r>
      <w:r>
        <w:rPr>
          <w:b/>
          <w:bCs/>
          <w:lang w:eastAsia="en-AU"/>
        </w:rPr>
        <w:t>24</w:t>
      </w:r>
      <w:r>
        <w:rPr>
          <w:lang w:eastAsia="en-AU"/>
        </w:rPr>
        <w:t xml:space="preserve">(3), 291-307. </w:t>
      </w:r>
    </w:p>
    <w:p w:rsidR="00C91886" w:rsidRDefault="006405AF" w:rsidP="00EB2EB0">
      <w:pPr>
        <w:ind w:left="720" w:hanging="720"/>
        <w:rPr>
          <w:lang w:val="fr-FR"/>
        </w:rPr>
      </w:pPr>
      <w:r w:rsidRPr="006405AF">
        <w:rPr>
          <w:lang w:val="fr-FR"/>
        </w:rPr>
        <w:t>Snyder CS, Bruulsema TW, Jensen</w:t>
      </w:r>
      <w:r w:rsidR="00C91886">
        <w:rPr>
          <w:lang w:val="fr-FR"/>
        </w:rPr>
        <w:t xml:space="preserve"> T, </w:t>
      </w:r>
      <w:r w:rsidRPr="006405AF">
        <w:rPr>
          <w:lang w:val="fr-FR"/>
        </w:rPr>
        <w:t xml:space="preserve">Fixen PE </w:t>
      </w:r>
      <w:r w:rsidR="00C91886">
        <w:rPr>
          <w:lang w:val="fr-FR"/>
        </w:rPr>
        <w:t>(</w:t>
      </w:r>
      <w:r w:rsidRPr="006405AF">
        <w:rPr>
          <w:lang w:val="fr-FR"/>
        </w:rPr>
        <w:t>2009</w:t>
      </w:r>
      <w:r w:rsidR="00C91886">
        <w:rPr>
          <w:lang w:val="fr-FR"/>
        </w:rPr>
        <w:t xml:space="preserve">) </w:t>
      </w:r>
      <w:r w:rsidRPr="006405AF">
        <w:rPr>
          <w:lang w:val="fr-FR"/>
        </w:rPr>
        <w:t>Review of greenhouse gas emissions from crop production systems and fertilizer management effects</w:t>
      </w:r>
      <w:r w:rsidR="00C91886">
        <w:rPr>
          <w:lang w:val="fr-FR"/>
        </w:rPr>
        <w:t>.</w:t>
      </w:r>
      <w:r w:rsidRPr="006405AF">
        <w:rPr>
          <w:lang w:val="fr-FR"/>
        </w:rPr>
        <w:t xml:space="preserve"> </w:t>
      </w:r>
      <w:r w:rsidRPr="00C91886">
        <w:rPr>
          <w:i/>
          <w:lang w:val="fr-FR"/>
        </w:rPr>
        <w:t>Agriculture, Ecosystems and Environment</w:t>
      </w:r>
      <w:r w:rsidRPr="006405AF">
        <w:rPr>
          <w:lang w:val="fr-FR"/>
        </w:rPr>
        <w:t>, 133</w:t>
      </w:r>
      <w:r w:rsidR="00C91886">
        <w:rPr>
          <w:lang w:val="fr-FR"/>
        </w:rPr>
        <w:t>(</w:t>
      </w:r>
      <w:r w:rsidRPr="006405AF">
        <w:rPr>
          <w:lang w:val="fr-FR"/>
        </w:rPr>
        <w:t>3-4</w:t>
      </w:r>
      <w:r w:rsidR="00C91886">
        <w:rPr>
          <w:lang w:val="fr-FR"/>
        </w:rPr>
        <w:t xml:space="preserve">), </w:t>
      </w:r>
      <w:r w:rsidRPr="006405AF">
        <w:rPr>
          <w:lang w:val="fr-FR"/>
        </w:rPr>
        <w:t>247-266</w:t>
      </w:r>
    </w:p>
    <w:p w:rsidR="00C91886" w:rsidRDefault="00C91886" w:rsidP="00EB2EB0">
      <w:pPr>
        <w:ind w:left="720" w:hanging="720"/>
        <w:rPr>
          <w:lang w:eastAsia="en-AU"/>
        </w:rPr>
      </w:pPr>
      <w:r>
        <w:rPr>
          <w:lang w:eastAsia="en-AU"/>
        </w:rPr>
        <w:t xml:space="preserve">Tejada M, Benitez C, Gonzalez JL (2002) Nitrogen mineralization in soil with conventional and organomineral fertilization practices. </w:t>
      </w:r>
      <w:r>
        <w:rPr>
          <w:i/>
          <w:iCs/>
          <w:lang w:eastAsia="en-AU"/>
        </w:rPr>
        <w:t>Communications in Soil Science and Plant Analysis</w:t>
      </w:r>
      <w:r>
        <w:rPr>
          <w:lang w:eastAsia="en-AU"/>
        </w:rPr>
        <w:t xml:space="preserve"> </w:t>
      </w:r>
      <w:r>
        <w:rPr>
          <w:b/>
          <w:bCs/>
          <w:lang w:eastAsia="en-AU"/>
        </w:rPr>
        <w:t>33</w:t>
      </w:r>
      <w:r>
        <w:rPr>
          <w:lang w:eastAsia="en-AU"/>
        </w:rPr>
        <w:t>(19-20), 3679-3702</w:t>
      </w:r>
    </w:p>
    <w:p w:rsidR="00A53958" w:rsidRPr="00A53958" w:rsidRDefault="00A53958" w:rsidP="00EB2EB0">
      <w:pPr>
        <w:ind w:left="720" w:hanging="720"/>
      </w:pPr>
      <w:r w:rsidRPr="00A53958">
        <w:t>VSN International 2014, Genstat 17</w:t>
      </w:r>
      <w:r w:rsidRPr="00A53958">
        <w:rPr>
          <w:vertAlign w:val="superscript"/>
        </w:rPr>
        <w:t>th</w:t>
      </w:r>
      <w:r w:rsidRPr="00A53958">
        <w:t xml:space="preserve"> Edition, UK</w:t>
      </w:r>
      <w:r w:rsidR="009C3B93">
        <w:t>.</w:t>
      </w:r>
    </w:p>
    <w:p w:rsidR="00A53958" w:rsidRPr="00A53958" w:rsidRDefault="00C91886" w:rsidP="00EB2EB0">
      <w:pPr>
        <w:ind w:left="720" w:hanging="720"/>
        <w:rPr>
          <w:lang w:val="de-DE"/>
        </w:rPr>
      </w:pPr>
      <w:r>
        <w:rPr>
          <w:lang w:eastAsia="en-AU"/>
        </w:rPr>
        <w:t xml:space="preserve">Weiske A, Benckiser G, Herbert T, Ottow JCG (2001) Influence of the nitrification inhibitor 3,4-dimethylpyrazole phosphate (DMPP) in comparison to dicyandiamide (DCD) on nitrous oxide emissions, carbon dioxide fluxes and methane oxidation during 3 years of repeated application in field experiments. </w:t>
      </w:r>
      <w:r>
        <w:rPr>
          <w:i/>
          <w:iCs/>
          <w:lang w:eastAsia="en-AU"/>
        </w:rPr>
        <w:t>Biology and Fertility of Soils</w:t>
      </w:r>
      <w:r>
        <w:rPr>
          <w:lang w:eastAsia="en-AU"/>
        </w:rPr>
        <w:t xml:space="preserve"> </w:t>
      </w:r>
      <w:r>
        <w:rPr>
          <w:b/>
          <w:bCs/>
          <w:lang w:eastAsia="en-AU"/>
        </w:rPr>
        <w:t>34</w:t>
      </w:r>
      <w:r>
        <w:rPr>
          <w:lang w:eastAsia="en-AU"/>
        </w:rPr>
        <w:t>(2), 109-117.</w:t>
      </w:r>
    </w:p>
    <w:sectPr w:rsidR="00A53958" w:rsidRPr="00A53958" w:rsidSect="002B4426"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5C" w:rsidRDefault="00150F5C">
      <w:r>
        <w:separator/>
      </w:r>
    </w:p>
  </w:endnote>
  <w:endnote w:type="continuationSeparator" w:id="0">
    <w:p w:rsidR="00150F5C" w:rsidRDefault="0015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7B" w:rsidRDefault="00BB7D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D7B" w:rsidRDefault="00BB7D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7B" w:rsidRDefault="00BB7D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B45">
      <w:rPr>
        <w:rStyle w:val="PageNumber"/>
        <w:noProof/>
      </w:rPr>
      <w:t>2</w:t>
    </w:r>
    <w:r>
      <w:rPr>
        <w:rStyle w:val="PageNumber"/>
      </w:rPr>
      <w:fldChar w:fldCharType="end"/>
    </w:r>
  </w:p>
  <w:p w:rsidR="00BB7D7B" w:rsidRDefault="002104F1" w:rsidP="000A43C1">
    <w:pPr>
      <w:pStyle w:val="Footer"/>
      <w:ind w:right="360"/>
    </w:pPr>
    <w:r>
      <w:t>©</w:t>
    </w:r>
    <w:r w:rsidR="0078492F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937126F" wp14:editId="40CAFB99">
              <wp:simplePos x="0" y="0"/>
              <wp:positionH relativeFrom="column">
                <wp:posOffset>-24765</wp:posOffset>
              </wp:positionH>
              <wp:positionV relativeFrom="paragraph">
                <wp:posOffset>-31116</wp:posOffset>
              </wp:positionV>
              <wp:extent cx="6162675" cy="0"/>
              <wp:effectExtent l="0" t="0" r="9525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FCC17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-2.45pt" to="483.3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DoEwIAACg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">
              <w10:wrap type="topAndBottom"/>
            </v:line>
          </w:pict>
        </mc:Fallback>
      </mc:AlternateContent>
    </w:r>
    <w:r>
      <w:t xml:space="preserve"> </w:t>
    </w:r>
    <w:r w:rsidR="00BB7D7B">
      <w:t xml:space="preserve">Proceedings of the </w:t>
    </w:r>
    <w:r>
      <w:t xml:space="preserve">2016 </w:t>
    </w:r>
    <w:r w:rsidRPr="002104F1">
      <w:t>International Nitrogen Initiative Conference</w:t>
    </w:r>
    <w:r w:rsidR="00BB7D7B">
      <w:t xml:space="preserve">, </w:t>
    </w:r>
    <w:r>
      <w:t>"</w:t>
    </w:r>
    <w:r w:rsidRPr="002104F1">
      <w:rPr>
        <w:i/>
        <w:iCs/>
      </w:rPr>
      <w:t>Solutions to improve nitrogen use efficiency for the world</w:t>
    </w:r>
    <w:r>
      <w:t>", 4 – 8 December 2016</w:t>
    </w:r>
    <w:r w:rsidR="00BB7D7B">
      <w:t xml:space="preserve">, </w:t>
    </w:r>
    <w:r>
      <w:t>Melbourne</w:t>
    </w:r>
    <w:r w:rsidR="00BB7D7B">
      <w:t xml:space="preserve">, </w:t>
    </w:r>
    <w:r w:rsidR="00E163B7">
      <w:t>Australia</w:t>
    </w:r>
    <w:r w:rsidR="00BB7D7B">
      <w:t xml:space="preserve">. </w:t>
    </w:r>
    <w:hyperlink r:id="rId1" w:history="1">
      <w:r w:rsidRPr="000C0E2E">
        <w:rPr>
          <w:rStyle w:val="Hyperlink"/>
        </w:rPr>
        <w:t>www.ini2016.com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5C" w:rsidRDefault="00150F5C">
      <w:r>
        <w:separator/>
      </w:r>
    </w:p>
  </w:footnote>
  <w:footnote w:type="continuationSeparator" w:id="0">
    <w:p w:rsidR="00150F5C" w:rsidRDefault="0015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EA62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8"/>
    <w:multiLevelType w:val="singleLevel"/>
    <w:tmpl w:val="BFD6E5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5CA53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2674AC3"/>
    <w:multiLevelType w:val="multilevel"/>
    <w:tmpl w:val="3AD8CED4"/>
    <w:lvl w:ilvl="0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onotype Sort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6A3DC0"/>
    <w:multiLevelType w:val="multilevel"/>
    <w:tmpl w:val="3AD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03133"/>
    <w:multiLevelType w:val="hybridMultilevel"/>
    <w:tmpl w:val="4E3E1986"/>
    <w:lvl w:ilvl="0" w:tplc="46F69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3076"/>
    <w:multiLevelType w:val="multilevel"/>
    <w:tmpl w:val="D440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onotype Sort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onotype Sort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onotype Sort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0042B4A"/>
    <w:multiLevelType w:val="hybridMultilevel"/>
    <w:tmpl w:val="F14EDC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E636E4"/>
    <w:multiLevelType w:val="hybridMultilevel"/>
    <w:tmpl w:val="F0AE0C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123F1"/>
    <w:multiLevelType w:val="hybridMultilevel"/>
    <w:tmpl w:val="2AF43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65C5F"/>
    <w:multiLevelType w:val="multilevel"/>
    <w:tmpl w:val="3AD8C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onotype Sor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A26D6"/>
    <w:multiLevelType w:val="multilevel"/>
    <w:tmpl w:val="EFB24A46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lowerLetter"/>
      <w:lvlText w:val="(%3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2EC4231"/>
    <w:multiLevelType w:val="multilevel"/>
    <w:tmpl w:val="B4F6BAC4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lowerLetter"/>
      <w:pStyle w:val="Heading3"/>
      <w:lvlText w:val="(%3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4376E1D"/>
    <w:multiLevelType w:val="multilevel"/>
    <w:tmpl w:val="4A0ABE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5A121AC"/>
    <w:multiLevelType w:val="hybridMultilevel"/>
    <w:tmpl w:val="11961EAC"/>
    <w:lvl w:ilvl="0" w:tplc="86E44A0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10"/>
  </w:num>
  <w:num w:numId="19">
    <w:abstractNumId w:val="13"/>
  </w:num>
  <w:num w:numId="20">
    <w:abstractNumId w:val="7"/>
  </w:num>
  <w:num w:numId="21">
    <w:abstractNumId w:val="12"/>
  </w:num>
  <w:num w:numId="22">
    <w:abstractNumId w:val="1"/>
  </w:num>
  <w:num w:numId="23">
    <w:abstractNumId w:val="14"/>
  </w:num>
  <w:num w:numId="24">
    <w:abstractNumId w:val="5"/>
  </w:num>
  <w:num w:numId="25">
    <w:abstractNumId w:val="11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rawingGridVerticalSpacing w:val="2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F8"/>
    <w:rsid w:val="000118DD"/>
    <w:rsid w:val="00022EDF"/>
    <w:rsid w:val="00025720"/>
    <w:rsid w:val="00045BEE"/>
    <w:rsid w:val="000577C0"/>
    <w:rsid w:val="000A43C1"/>
    <w:rsid w:val="000A47A7"/>
    <w:rsid w:val="000D4F5B"/>
    <w:rsid w:val="00113B6D"/>
    <w:rsid w:val="00125536"/>
    <w:rsid w:val="00150F5C"/>
    <w:rsid w:val="00153B20"/>
    <w:rsid w:val="0015697A"/>
    <w:rsid w:val="001603CC"/>
    <w:rsid w:val="001610E1"/>
    <w:rsid w:val="001718AB"/>
    <w:rsid w:val="001718EE"/>
    <w:rsid w:val="001A2416"/>
    <w:rsid w:val="001A636E"/>
    <w:rsid w:val="001A7653"/>
    <w:rsid w:val="001B4F63"/>
    <w:rsid w:val="001C4229"/>
    <w:rsid w:val="001C455D"/>
    <w:rsid w:val="001C548B"/>
    <w:rsid w:val="001D5DDE"/>
    <w:rsid w:val="001E7340"/>
    <w:rsid w:val="00200020"/>
    <w:rsid w:val="002104F1"/>
    <w:rsid w:val="0025798E"/>
    <w:rsid w:val="00265AD2"/>
    <w:rsid w:val="002700BA"/>
    <w:rsid w:val="002914E2"/>
    <w:rsid w:val="002B4426"/>
    <w:rsid w:val="002C3240"/>
    <w:rsid w:val="002D3FF5"/>
    <w:rsid w:val="002F0D06"/>
    <w:rsid w:val="00355F07"/>
    <w:rsid w:val="0039320C"/>
    <w:rsid w:val="00394C8C"/>
    <w:rsid w:val="003C0970"/>
    <w:rsid w:val="003C1BB8"/>
    <w:rsid w:val="003D1395"/>
    <w:rsid w:val="003D4E13"/>
    <w:rsid w:val="004148BE"/>
    <w:rsid w:val="004533ED"/>
    <w:rsid w:val="00456992"/>
    <w:rsid w:val="004A4C18"/>
    <w:rsid w:val="004A5C1D"/>
    <w:rsid w:val="004D5409"/>
    <w:rsid w:val="004D6C4C"/>
    <w:rsid w:val="004E6CF8"/>
    <w:rsid w:val="0051073B"/>
    <w:rsid w:val="005200B7"/>
    <w:rsid w:val="00531C8E"/>
    <w:rsid w:val="00560021"/>
    <w:rsid w:val="00571D1E"/>
    <w:rsid w:val="005A2408"/>
    <w:rsid w:val="005D68D8"/>
    <w:rsid w:val="005D6B80"/>
    <w:rsid w:val="005E1C60"/>
    <w:rsid w:val="00633577"/>
    <w:rsid w:val="006405AF"/>
    <w:rsid w:val="00652668"/>
    <w:rsid w:val="00670852"/>
    <w:rsid w:val="00685231"/>
    <w:rsid w:val="00690D1D"/>
    <w:rsid w:val="0069492C"/>
    <w:rsid w:val="006C0AC4"/>
    <w:rsid w:val="006D10E4"/>
    <w:rsid w:val="006E7F50"/>
    <w:rsid w:val="006F64A5"/>
    <w:rsid w:val="00737FC2"/>
    <w:rsid w:val="0074437A"/>
    <w:rsid w:val="00760174"/>
    <w:rsid w:val="00783B85"/>
    <w:rsid w:val="0078492F"/>
    <w:rsid w:val="007C5A6A"/>
    <w:rsid w:val="007E3C87"/>
    <w:rsid w:val="007F77D7"/>
    <w:rsid w:val="00823F7A"/>
    <w:rsid w:val="00832145"/>
    <w:rsid w:val="008522E0"/>
    <w:rsid w:val="008634DF"/>
    <w:rsid w:val="00880ECF"/>
    <w:rsid w:val="008818CA"/>
    <w:rsid w:val="00883A28"/>
    <w:rsid w:val="00884490"/>
    <w:rsid w:val="00892606"/>
    <w:rsid w:val="008B51B5"/>
    <w:rsid w:val="008B5285"/>
    <w:rsid w:val="008E13DE"/>
    <w:rsid w:val="008E3D20"/>
    <w:rsid w:val="00937203"/>
    <w:rsid w:val="00945D2B"/>
    <w:rsid w:val="00947017"/>
    <w:rsid w:val="00967430"/>
    <w:rsid w:val="009879D9"/>
    <w:rsid w:val="009A438E"/>
    <w:rsid w:val="009C3B93"/>
    <w:rsid w:val="009C5ECF"/>
    <w:rsid w:val="009D6F8D"/>
    <w:rsid w:val="009F4200"/>
    <w:rsid w:val="00A00972"/>
    <w:rsid w:val="00A15F91"/>
    <w:rsid w:val="00A268F4"/>
    <w:rsid w:val="00A30319"/>
    <w:rsid w:val="00A53958"/>
    <w:rsid w:val="00A71516"/>
    <w:rsid w:val="00A749EA"/>
    <w:rsid w:val="00A76234"/>
    <w:rsid w:val="00A85B45"/>
    <w:rsid w:val="00A9383B"/>
    <w:rsid w:val="00AC1941"/>
    <w:rsid w:val="00AD087D"/>
    <w:rsid w:val="00B07845"/>
    <w:rsid w:val="00B32987"/>
    <w:rsid w:val="00B34A50"/>
    <w:rsid w:val="00B5582F"/>
    <w:rsid w:val="00B66E0A"/>
    <w:rsid w:val="00B736E8"/>
    <w:rsid w:val="00B84C3E"/>
    <w:rsid w:val="00BB43C3"/>
    <w:rsid w:val="00BB6FD2"/>
    <w:rsid w:val="00BB7D7B"/>
    <w:rsid w:val="00BE3E62"/>
    <w:rsid w:val="00C1292F"/>
    <w:rsid w:val="00C6271A"/>
    <w:rsid w:val="00C903CA"/>
    <w:rsid w:val="00C91886"/>
    <w:rsid w:val="00CB0707"/>
    <w:rsid w:val="00D00610"/>
    <w:rsid w:val="00D0199A"/>
    <w:rsid w:val="00D06841"/>
    <w:rsid w:val="00D114D8"/>
    <w:rsid w:val="00D24485"/>
    <w:rsid w:val="00D30E11"/>
    <w:rsid w:val="00D921C2"/>
    <w:rsid w:val="00D94A07"/>
    <w:rsid w:val="00DB35A9"/>
    <w:rsid w:val="00DE6A67"/>
    <w:rsid w:val="00DF7E31"/>
    <w:rsid w:val="00E163B7"/>
    <w:rsid w:val="00E36596"/>
    <w:rsid w:val="00E512E4"/>
    <w:rsid w:val="00E72A01"/>
    <w:rsid w:val="00E92F0F"/>
    <w:rsid w:val="00EB2EB0"/>
    <w:rsid w:val="00EC04BA"/>
    <w:rsid w:val="00EC7E86"/>
    <w:rsid w:val="00F15332"/>
    <w:rsid w:val="00F5089F"/>
    <w:rsid w:val="00F84442"/>
    <w:rsid w:val="00FA15EF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1"/>
      </w:numPr>
      <w:tabs>
        <w:tab w:val="clear" w:pos="1224"/>
      </w:tabs>
      <w:ind w:left="505" w:hanging="505"/>
      <w:outlineLvl w:val="2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author">
    <w:name w:val="author"/>
    <w:basedOn w:val="Normal"/>
    <w:next w:val="Normal"/>
    <w:autoRedefine/>
  </w:style>
  <w:style w:type="paragraph" w:customStyle="1" w:styleId="address">
    <w:name w:val="address"/>
    <w:basedOn w:val="Normal"/>
    <w:next w:val="Normal"/>
    <w:rPr>
      <w:sz w:val="18"/>
    </w:r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pPr>
      <w:outlineLvl w:val="0"/>
    </w:pPr>
    <w:rPr>
      <w:b/>
      <w:bCs/>
      <w:kern w:val="28"/>
      <w:sz w:val="28"/>
      <w:szCs w:val="28"/>
    </w:r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mediahead">
    <w:name w:val="media head"/>
    <w:basedOn w:val="Heading1"/>
  </w:style>
  <w:style w:type="paragraph" w:customStyle="1" w:styleId="references">
    <w:name w:val="references"/>
    <w:basedOn w:val="Normal"/>
    <w:autoRedefine/>
    <w:pPr>
      <w:tabs>
        <w:tab w:val="left" w:pos="426"/>
      </w:tabs>
      <w:spacing w:after="60"/>
      <w:ind w:left="284" w:hanging="284"/>
    </w:pPr>
  </w:style>
  <w:style w:type="paragraph" w:customStyle="1" w:styleId="keywords">
    <w:name w:val="keywords"/>
    <w:basedOn w:val="Normal"/>
    <w:next w:val="Normal"/>
    <w:autoRedefine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customStyle="1" w:styleId="keywordshead">
    <w:name w:val="keywords head"/>
    <w:basedOn w:val="Normal"/>
    <w:next w:val="keywords"/>
    <w:autoRedefine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bstracthead">
    <w:name w:val="abstract head"/>
    <w:basedOn w:val="Normal"/>
    <w:next w:val="Normal"/>
    <w:autoRedefine/>
    <w:pPr>
      <w:keepNext/>
      <w:outlineLvl w:val="0"/>
    </w:pPr>
    <w:rPr>
      <w:b/>
      <w:bCs/>
    </w:rPr>
  </w:style>
  <w:style w:type="paragraph" w:customStyle="1" w:styleId="Figure">
    <w:name w:val="Figure"/>
    <w:basedOn w:val="Normal"/>
    <w:pPr>
      <w:autoSpaceDE/>
      <w:autoSpaceDN/>
      <w:jc w:val="center"/>
      <w:outlineLvl w:val="0"/>
    </w:pPr>
    <w:rPr>
      <w:b/>
      <w:sz w:val="16"/>
      <w:lang w:val="en-GB"/>
    </w:rPr>
  </w:style>
  <w:style w:type="character" w:styleId="LineNumber">
    <w:name w:val="line number"/>
    <w:basedOn w:val="DefaultParagraphFont"/>
  </w:style>
  <w:style w:type="paragraph" w:styleId="ListNumber">
    <w:name w:val="List Number"/>
    <w:basedOn w:val="Normal"/>
    <w:pPr>
      <w:numPr>
        <w:numId w:val="22"/>
      </w:numPr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customStyle="1" w:styleId="media">
    <w:name w:val="media"/>
    <w:basedOn w:val="Normal"/>
  </w:style>
  <w:style w:type="paragraph" w:customStyle="1" w:styleId="abstract">
    <w:name w:val="abstract"/>
    <w:basedOn w:val="Normal"/>
    <w:autoRedefine/>
  </w:style>
  <w:style w:type="paragraph" w:styleId="BalloonText">
    <w:name w:val="Balloon Text"/>
    <w:basedOn w:val="Normal"/>
    <w:link w:val="BalloonTextChar"/>
    <w:rsid w:val="000A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3C1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link w:val="Title"/>
    <w:uiPriority w:val="10"/>
    <w:rsid w:val="005E1C60"/>
    <w:rPr>
      <w:b/>
      <w:bCs/>
      <w:kern w:val="28"/>
      <w:sz w:val="28"/>
      <w:szCs w:val="28"/>
      <w:lang w:eastAsia="en-US"/>
    </w:rPr>
  </w:style>
  <w:style w:type="character" w:styleId="CommentReference">
    <w:name w:val="annotation reference"/>
    <w:semiHidden/>
    <w:unhideWhenUsed/>
    <w:rsid w:val="00F508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089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F5089F"/>
    <w:rPr>
      <w:lang w:eastAsia="en-US"/>
    </w:rPr>
  </w:style>
  <w:style w:type="table" w:styleId="TableGrid">
    <w:name w:val="Table Grid"/>
    <w:basedOn w:val="TableNormal"/>
    <w:rsid w:val="009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03CA"/>
    <w:rPr>
      <w:b/>
      <w:bCs/>
    </w:rPr>
  </w:style>
  <w:style w:type="character" w:customStyle="1" w:styleId="CommentSubjectChar">
    <w:name w:val="Comment Subject Char"/>
    <w:link w:val="CommentSubject"/>
    <w:semiHidden/>
    <w:rsid w:val="00C903CA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i201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conference template</vt:lpstr>
    </vt:vector>
  </TitlesOfParts>
  <LinksUpToDate>false</LinksUpToDate>
  <CharactersWithSpaces>14313</CharactersWithSpaces>
  <SharedDoc>false</SharedDoc>
  <HLinks>
    <vt:vector size="6" baseType="variant">
      <vt:variant>
        <vt:i4>2293884</vt:i4>
      </vt:variant>
      <vt:variant>
        <vt:i4>5</vt:i4>
      </vt:variant>
      <vt:variant>
        <vt:i4>0</vt:i4>
      </vt:variant>
      <vt:variant>
        <vt:i4>5</vt:i4>
      </vt:variant>
      <vt:variant>
        <vt:lpwstr>http://www.ini2016.com/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conference template</dc:title>
  <dc:creator/>
  <cp:lastModifiedBy/>
  <cp:revision>1</cp:revision>
  <cp:lastPrinted>2007-09-24T04:37:00Z</cp:lastPrinted>
  <dcterms:created xsi:type="dcterms:W3CDTF">2017-01-04T02:17:00Z</dcterms:created>
  <dcterms:modified xsi:type="dcterms:W3CDTF">2017-01-04T02:17:00Z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Roger Johnson</vt:lpwstr>
  </property>
  <property fmtid="{D5CDD505-2E9C-101B-9397-08002B2CF9AE}" pid="3" name="Owner">
    <vt:lpwstr>The Regional Institute Ltd</vt:lpwstr>
  </property>
</Properties>
</file>